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40" w:rsidRPr="00EA245B" w:rsidRDefault="002257BC" w:rsidP="00115F54">
      <w:pPr>
        <w:spacing w:after="0" w:line="240" w:lineRule="auto"/>
        <w:jc w:val="center"/>
        <w:rPr>
          <w:rFonts w:ascii="Arial Narrow" w:hAnsi="Arial Narrow" w:cs="Times New Roman"/>
          <w:b/>
          <w:sz w:val="32"/>
          <w:szCs w:val="32"/>
        </w:rPr>
      </w:pPr>
      <w:r w:rsidRPr="00EA245B">
        <w:rPr>
          <w:rFonts w:ascii="Arial Narrow" w:hAnsi="Arial Narrow" w:cs="Times New Roman"/>
          <w:b/>
          <w:sz w:val="32"/>
          <w:szCs w:val="32"/>
        </w:rPr>
        <w:t>DETEKSI MOLEKULER GEN LITIK BRLF1 EPSTEIN-BARR VIRUS PADA PENDERITA KARSINOMA NASOFARING</w:t>
      </w:r>
    </w:p>
    <w:p w:rsidR="00A06A59" w:rsidRDefault="00A06A59" w:rsidP="00115F54">
      <w:pPr>
        <w:spacing w:after="0" w:line="240" w:lineRule="auto"/>
        <w:jc w:val="center"/>
        <w:rPr>
          <w:rFonts w:ascii="Times New Roman" w:hAnsi="Times New Roman" w:cs="Times New Roman"/>
          <w:b/>
          <w:sz w:val="20"/>
          <w:szCs w:val="20"/>
        </w:rPr>
      </w:pPr>
    </w:p>
    <w:p w:rsidR="002257BC" w:rsidRPr="00EA245B" w:rsidRDefault="002257BC" w:rsidP="00115F54">
      <w:pPr>
        <w:spacing w:after="0" w:line="240" w:lineRule="auto"/>
        <w:jc w:val="center"/>
        <w:rPr>
          <w:rFonts w:ascii="Arial" w:hAnsi="Arial" w:cs="Arial"/>
          <w:sz w:val="20"/>
          <w:szCs w:val="20"/>
        </w:rPr>
      </w:pPr>
      <w:r w:rsidRPr="00EA245B">
        <w:rPr>
          <w:rFonts w:ascii="Arial" w:hAnsi="Arial" w:cs="Arial"/>
          <w:sz w:val="20"/>
          <w:szCs w:val="20"/>
        </w:rPr>
        <w:t>Tri Yulia Ningsih, Daniel Joko Wahyono, Nur Signa Aini Gumilas</w:t>
      </w:r>
    </w:p>
    <w:p w:rsidR="00A06A59" w:rsidRPr="007E59B1" w:rsidRDefault="00A06A59" w:rsidP="00115F54">
      <w:pPr>
        <w:spacing w:after="0" w:line="240" w:lineRule="auto"/>
        <w:jc w:val="center"/>
        <w:rPr>
          <w:rFonts w:ascii="Times New Roman" w:hAnsi="Times New Roman" w:cs="Times New Roman"/>
          <w:sz w:val="24"/>
          <w:szCs w:val="24"/>
        </w:rPr>
      </w:pPr>
    </w:p>
    <w:p w:rsidR="002257BC" w:rsidRPr="00EA245B" w:rsidRDefault="002257BC" w:rsidP="00115F54">
      <w:pPr>
        <w:spacing w:after="0" w:line="240" w:lineRule="auto"/>
        <w:jc w:val="center"/>
        <w:rPr>
          <w:rFonts w:ascii="Arial" w:hAnsi="Arial" w:cs="Arial"/>
          <w:sz w:val="18"/>
          <w:szCs w:val="18"/>
        </w:rPr>
      </w:pPr>
      <w:r w:rsidRPr="00EA245B">
        <w:rPr>
          <w:rFonts w:ascii="Arial" w:hAnsi="Arial" w:cs="Arial"/>
          <w:sz w:val="18"/>
          <w:szCs w:val="18"/>
        </w:rPr>
        <w:t>Fakultas Biologi Universitas Jenderal Soedirman, Purwokerto</w:t>
      </w:r>
    </w:p>
    <w:p w:rsidR="002257BC" w:rsidRPr="00EA245B" w:rsidRDefault="002257BC" w:rsidP="00115F54">
      <w:pPr>
        <w:spacing w:after="0" w:line="240" w:lineRule="auto"/>
        <w:jc w:val="center"/>
        <w:rPr>
          <w:rFonts w:ascii="Arial" w:hAnsi="Arial" w:cs="Arial"/>
          <w:sz w:val="18"/>
          <w:szCs w:val="18"/>
        </w:rPr>
      </w:pPr>
      <w:proofErr w:type="gramStart"/>
      <w:r w:rsidRPr="00EA245B">
        <w:rPr>
          <w:rFonts w:ascii="Arial" w:hAnsi="Arial" w:cs="Arial"/>
          <w:sz w:val="18"/>
          <w:szCs w:val="18"/>
        </w:rPr>
        <w:t>e-mail</w:t>
      </w:r>
      <w:proofErr w:type="gramEnd"/>
      <w:r w:rsidRPr="00EA245B">
        <w:rPr>
          <w:rFonts w:ascii="Arial" w:hAnsi="Arial" w:cs="Arial"/>
          <w:sz w:val="18"/>
          <w:szCs w:val="18"/>
        </w:rPr>
        <w:t xml:space="preserve">: </w:t>
      </w:r>
      <w:hyperlink r:id="rId9" w:history="1">
        <w:r w:rsidRPr="00EA245B">
          <w:rPr>
            <w:rStyle w:val="Hyperlink"/>
            <w:rFonts w:ascii="Arial" w:hAnsi="Arial" w:cs="Arial"/>
            <w:color w:val="auto"/>
            <w:sz w:val="18"/>
            <w:szCs w:val="18"/>
            <w:u w:val="none"/>
          </w:rPr>
          <w:t>tri.yulia.ningsih34@gmail.com</w:t>
        </w:r>
      </w:hyperlink>
    </w:p>
    <w:p w:rsidR="007E59B1" w:rsidRDefault="007E59B1" w:rsidP="00115F54">
      <w:pPr>
        <w:tabs>
          <w:tab w:val="center" w:pos="4680"/>
        </w:tabs>
        <w:spacing w:after="0" w:line="240" w:lineRule="auto"/>
        <w:rPr>
          <w:rFonts w:ascii="Times New Roman" w:hAnsi="Times New Roman" w:cs="Times New Roman"/>
          <w:b/>
          <w:sz w:val="24"/>
          <w:szCs w:val="24"/>
        </w:rPr>
      </w:pPr>
    </w:p>
    <w:p w:rsidR="00A06A59" w:rsidRPr="00EA245B" w:rsidRDefault="002257BC" w:rsidP="00115F54">
      <w:pPr>
        <w:tabs>
          <w:tab w:val="center" w:pos="4680"/>
        </w:tabs>
        <w:spacing w:after="0" w:line="240" w:lineRule="auto"/>
        <w:rPr>
          <w:rFonts w:ascii="Arial" w:hAnsi="Arial" w:cs="Arial"/>
          <w:b/>
          <w:sz w:val="20"/>
          <w:szCs w:val="18"/>
        </w:rPr>
      </w:pPr>
      <w:r w:rsidRPr="00EA245B">
        <w:rPr>
          <w:rFonts w:ascii="Arial" w:hAnsi="Arial" w:cs="Arial"/>
          <w:b/>
          <w:sz w:val="20"/>
          <w:szCs w:val="18"/>
        </w:rPr>
        <w:t>ABSTRACT</w:t>
      </w:r>
    </w:p>
    <w:p w:rsidR="004054BF" w:rsidRPr="00EA245B" w:rsidRDefault="0038654E" w:rsidP="005D3254">
      <w:pPr>
        <w:spacing w:after="0" w:line="240" w:lineRule="auto"/>
        <w:jc w:val="both"/>
        <w:rPr>
          <w:rFonts w:ascii="Arial" w:hAnsi="Arial" w:cs="Arial"/>
          <w:sz w:val="18"/>
          <w:szCs w:val="18"/>
        </w:rPr>
      </w:pPr>
      <w:bookmarkStart w:id="0" w:name="_GoBack"/>
      <w:bookmarkEnd w:id="0"/>
      <w:r w:rsidRPr="00EA245B">
        <w:rPr>
          <w:rFonts w:ascii="Arial" w:hAnsi="Arial" w:cs="Arial"/>
          <w:sz w:val="18"/>
          <w:szCs w:val="18"/>
        </w:rPr>
        <w:t xml:space="preserve">Nasopharyngeal carcinoma </w:t>
      </w:r>
      <w:r w:rsidR="004054BF" w:rsidRPr="00EA245B">
        <w:rPr>
          <w:rFonts w:ascii="Arial" w:hAnsi="Arial" w:cs="Arial"/>
          <w:sz w:val="18"/>
          <w:szCs w:val="18"/>
        </w:rPr>
        <w:t xml:space="preserve">(NPC) is a malignant tumor that grows in the nasopharynx with a predilection for the Rosenmuller fossa. Epithelial malignancy is often found in Chinese populations and Southeast Asia including Indonesia. Undifferentiated nasopharyngeal carcinoma (NPC WHO-3) is 100% associated with EBV infection. BRLF1 lytic gene has an important function as a transition mediator of latent phase to the lytic phase. Detection of BRLF1 gene by PCR can be used to NPC diagnosis. The purpose of this study is to identify BRLF1 lytic genes as molecular markers of Epstein-Barr virus in nasopharyngeal carcinoma patients with conventional PCR method and determine the sensitivity of conventional PCR method to detect BRLF1 gene. Research methodology used is descriptive method shaped cross-sectional study. A total of 22 DNA samples were isolated from venous blood of NPC patients, who seek treatment at RSMS and have inclusion criteria. BRLF1 gene identification is done with conventional PCR methods. The results of this research showed that BRLF1 genes as molecular markers lytic cycle of Epstein-Barr virus in nasopharyngeal carcinoma patients can be identified by two-stage of conventional PCR method that will produce DNA 157 bp. BRLF1 gene was detected in 16 samples (72.73%) of 22 samples of this study. </w:t>
      </w:r>
    </w:p>
    <w:p w:rsidR="00A06A59" w:rsidRPr="00EA245B" w:rsidRDefault="00A06A59" w:rsidP="00115F54">
      <w:pPr>
        <w:spacing w:after="0" w:line="240" w:lineRule="auto"/>
        <w:ind w:firstLine="567"/>
        <w:jc w:val="both"/>
        <w:rPr>
          <w:rFonts w:ascii="Arial" w:hAnsi="Arial" w:cs="Arial"/>
          <w:sz w:val="18"/>
          <w:szCs w:val="18"/>
        </w:rPr>
      </w:pPr>
    </w:p>
    <w:p w:rsidR="00A06A59" w:rsidRPr="00EA245B" w:rsidRDefault="00A06A59" w:rsidP="00115F54">
      <w:pPr>
        <w:spacing w:after="0" w:line="240" w:lineRule="auto"/>
        <w:jc w:val="both"/>
        <w:rPr>
          <w:rFonts w:ascii="Times New Roman" w:hAnsi="Times New Roman" w:cs="Times New Roman"/>
          <w:b/>
          <w:sz w:val="20"/>
          <w:szCs w:val="20"/>
          <w:lang w:eastAsia="id-ID"/>
        </w:rPr>
      </w:pPr>
      <w:r w:rsidRPr="00EA245B">
        <w:rPr>
          <w:rFonts w:ascii="Arial" w:hAnsi="Arial" w:cs="Arial"/>
          <w:b/>
          <w:sz w:val="18"/>
          <w:szCs w:val="18"/>
          <w:lang w:val="id-ID" w:eastAsia="id-ID"/>
        </w:rPr>
        <w:t>K</w:t>
      </w:r>
      <w:r w:rsidRPr="00EA245B">
        <w:rPr>
          <w:rFonts w:ascii="Arial" w:hAnsi="Arial" w:cs="Arial"/>
          <w:b/>
          <w:sz w:val="18"/>
          <w:szCs w:val="18"/>
          <w:lang w:eastAsia="id-ID"/>
        </w:rPr>
        <w:t xml:space="preserve">ey word: BRLF1 </w:t>
      </w:r>
      <w:r w:rsidRPr="00EA245B">
        <w:rPr>
          <w:rFonts w:ascii="Arial" w:hAnsi="Arial" w:cs="Arial"/>
          <w:b/>
          <w:sz w:val="18"/>
          <w:szCs w:val="18"/>
          <w:lang w:val="id-ID" w:eastAsia="id-ID"/>
        </w:rPr>
        <w:t>gen</w:t>
      </w:r>
      <w:r w:rsidRPr="00EA245B">
        <w:rPr>
          <w:rFonts w:ascii="Arial" w:hAnsi="Arial" w:cs="Arial"/>
          <w:b/>
          <w:sz w:val="18"/>
          <w:szCs w:val="18"/>
          <w:lang w:eastAsia="id-ID"/>
        </w:rPr>
        <w:t>,</w:t>
      </w:r>
      <w:r w:rsidRPr="00EA245B">
        <w:rPr>
          <w:rFonts w:ascii="Arial" w:hAnsi="Arial" w:cs="Arial"/>
          <w:b/>
          <w:sz w:val="18"/>
          <w:szCs w:val="18"/>
        </w:rPr>
        <w:t xml:space="preserve"> </w:t>
      </w:r>
      <w:r w:rsidRPr="00EA245B">
        <w:rPr>
          <w:rFonts w:ascii="Arial" w:hAnsi="Arial" w:cs="Arial"/>
          <w:b/>
          <w:sz w:val="18"/>
          <w:szCs w:val="18"/>
          <w:lang w:eastAsia="id-ID"/>
        </w:rPr>
        <w:t>Epstein-Barr Virus</w:t>
      </w:r>
      <w:r w:rsidRPr="00EA245B">
        <w:rPr>
          <w:rFonts w:ascii="Arial" w:hAnsi="Arial" w:cs="Arial"/>
          <w:b/>
          <w:sz w:val="18"/>
          <w:szCs w:val="18"/>
        </w:rPr>
        <w:t>, Nasopharyngeal cancer</w:t>
      </w:r>
    </w:p>
    <w:p w:rsidR="00A06A59" w:rsidRPr="00EB4CA3" w:rsidRDefault="00A06A59" w:rsidP="00115F54">
      <w:pPr>
        <w:spacing w:after="0" w:line="240" w:lineRule="auto"/>
        <w:rPr>
          <w:rFonts w:ascii="Times New Roman" w:hAnsi="Times New Roman" w:cs="Times New Roman"/>
          <w:sz w:val="20"/>
          <w:szCs w:val="20"/>
        </w:rPr>
      </w:pPr>
    </w:p>
    <w:p w:rsidR="00115F54" w:rsidRPr="00EB4CA3" w:rsidRDefault="00115F54" w:rsidP="00115F54">
      <w:pPr>
        <w:spacing w:after="0" w:line="240" w:lineRule="auto"/>
        <w:rPr>
          <w:rFonts w:ascii="Times New Roman" w:hAnsi="Times New Roman" w:cs="Times New Roman"/>
          <w:b/>
          <w:sz w:val="20"/>
          <w:szCs w:val="20"/>
        </w:rPr>
        <w:sectPr w:rsidR="00115F54" w:rsidRPr="00EB4CA3" w:rsidSect="00F03AE9">
          <w:headerReference w:type="default" r:id="rId10"/>
          <w:footerReference w:type="default" r:id="rId11"/>
          <w:pgSz w:w="12240" w:h="15840"/>
          <w:pgMar w:top="1418" w:right="1418" w:bottom="1418" w:left="2268" w:header="720" w:footer="720" w:gutter="0"/>
          <w:cols w:space="720"/>
          <w:docGrid w:linePitch="360"/>
        </w:sectPr>
      </w:pPr>
    </w:p>
    <w:p w:rsidR="00204C8B" w:rsidRPr="00EA245B" w:rsidRDefault="002257BC" w:rsidP="00EA245B">
      <w:pPr>
        <w:spacing w:after="0" w:line="240" w:lineRule="auto"/>
        <w:rPr>
          <w:rFonts w:ascii="Arial" w:hAnsi="Arial" w:cs="Arial"/>
          <w:b/>
          <w:sz w:val="20"/>
          <w:szCs w:val="20"/>
        </w:rPr>
      </w:pPr>
      <w:r w:rsidRPr="00EA245B">
        <w:rPr>
          <w:rFonts w:ascii="Arial" w:hAnsi="Arial" w:cs="Arial"/>
          <w:b/>
          <w:sz w:val="20"/>
          <w:szCs w:val="20"/>
        </w:rPr>
        <w:lastRenderedPageBreak/>
        <w:t>PENDAHULUAN</w:t>
      </w:r>
    </w:p>
    <w:p w:rsidR="00AA6923" w:rsidRPr="00EA245B" w:rsidRDefault="00AA6923" w:rsidP="00EA245B">
      <w:pPr>
        <w:spacing w:after="0" w:line="240" w:lineRule="auto"/>
        <w:ind w:firstLine="426"/>
        <w:jc w:val="both"/>
        <w:rPr>
          <w:rFonts w:ascii="Arial" w:hAnsi="Arial" w:cs="Arial"/>
          <w:sz w:val="20"/>
          <w:szCs w:val="20"/>
        </w:rPr>
      </w:pPr>
      <w:proofErr w:type="gramStart"/>
      <w:r w:rsidRPr="00EA245B">
        <w:rPr>
          <w:rFonts w:ascii="Arial" w:hAnsi="Arial" w:cs="Arial"/>
          <w:sz w:val="20"/>
          <w:szCs w:val="20"/>
        </w:rPr>
        <w:t>Karsinoma nasofaring (KNF) merupakan tumor ganas pada sel epitel nasofaring.</w:t>
      </w:r>
      <w:proofErr w:type="gramEnd"/>
      <w:r w:rsidRPr="00EA245B">
        <w:rPr>
          <w:rFonts w:ascii="Arial" w:hAnsi="Arial" w:cs="Arial"/>
          <w:sz w:val="20"/>
          <w:szCs w:val="20"/>
        </w:rPr>
        <w:t xml:space="preserve"> Insidensi KNF pada tahun 2008 diperkirakan sekitar 84.400 kasus dan 51.600 kasus diantaranya menyebabkan kematian (Jemal et al., 2011). </w:t>
      </w:r>
      <w:proofErr w:type="gramStart"/>
      <w:r w:rsidRPr="00EA245B">
        <w:rPr>
          <w:rFonts w:ascii="Arial" w:hAnsi="Arial" w:cs="Arial"/>
          <w:sz w:val="20"/>
          <w:szCs w:val="20"/>
        </w:rPr>
        <w:t>Mayoritas penderita KNF saat didiagnosis sudah stadium lanjut karena tidak memiliki gejala spesifik dan sulitnya pemeriksaan rongga nasofaring (Savitri &amp; Sofia, 2012).</w:t>
      </w:r>
      <w:proofErr w:type="gramEnd"/>
    </w:p>
    <w:p w:rsidR="00AA6923" w:rsidRPr="00EA245B" w:rsidRDefault="00AA6923" w:rsidP="00EA245B">
      <w:pPr>
        <w:spacing w:after="0" w:line="240" w:lineRule="auto"/>
        <w:ind w:firstLine="426"/>
        <w:jc w:val="both"/>
        <w:rPr>
          <w:rFonts w:ascii="Arial" w:hAnsi="Arial" w:cs="Arial"/>
          <w:sz w:val="20"/>
          <w:szCs w:val="20"/>
        </w:rPr>
      </w:pPr>
      <w:proofErr w:type="gramStart"/>
      <w:r w:rsidRPr="00EA245B">
        <w:rPr>
          <w:rFonts w:ascii="Arial" w:hAnsi="Arial" w:cs="Arial"/>
          <w:sz w:val="20"/>
          <w:szCs w:val="20"/>
        </w:rPr>
        <w:t>KNF mempunyai perbedaan signifikan dalam distribusi geografis dan etnis.</w:t>
      </w:r>
      <w:proofErr w:type="gramEnd"/>
      <w:r w:rsidRPr="00EA245B">
        <w:rPr>
          <w:rFonts w:ascii="Arial" w:hAnsi="Arial" w:cs="Arial"/>
          <w:sz w:val="20"/>
          <w:szCs w:val="20"/>
        </w:rPr>
        <w:t xml:space="preserve"> Ras Mongoloid merupakan faktor genetik yang dominan sebagai etiologi KNF, sehingga kekerapannya cukup tinggi pada penduduk di wilayah Cina, Vietnam, Thailand, Malaysia, Singapura, dan Indonesia (Cottrill &amp; Nutting, 2003). </w:t>
      </w:r>
      <w:proofErr w:type="gramStart"/>
      <w:r w:rsidRPr="00EA245B">
        <w:rPr>
          <w:rFonts w:ascii="Arial" w:hAnsi="Arial" w:cs="Arial"/>
          <w:sz w:val="20"/>
          <w:szCs w:val="20"/>
        </w:rPr>
        <w:t>Insidensi KNF di Indonesia menduduki urutan ke-5 dari semua insidensi kanker (Soepardi et al., 2007).</w:t>
      </w:r>
      <w:proofErr w:type="gramEnd"/>
      <w:r w:rsidRPr="00EA245B">
        <w:rPr>
          <w:rFonts w:ascii="Arial" w:hAnsi="Arial" w:cs="Arial"/>
          <w:sz w:val="20"/>
          <w:szCs w:val="20"/>
        </w:rPr>
        <w:t xml:space="preserve"> Setiap tahunnya ditemukan 120 kasus baru di </w:t>
      </w:r>
      <w:r w:rsidR="00204C8B" w:rsidRPr="00EA245B">
        <w:rPr>
          <w:rFonts w:ascii="Arial" w:hAnsi="Arial" w:cs="Arial"/>
          <w:sz w:val="20"/>
          <w:szCs w:val="20"/>
        </w:rPr>
        <w:t xml:space="preserve">RSUD Prof. </w:t>
      </w:r>
      <w:proofErr w:type="gramStart"/>
      <w:r w:rsidR="00204C8B" w:rsidRPr="00EA245B">
        <w:rPr>
          <w:rFonts w:ascii="Arial" w:hAnsi="Arial" w:cs="Arial"/>
          <w:sz w:val="20"/>
          <w:szCs w:val="20"/>
        </w:rPr>
        <w:t>dr</w:t>
      </w:r>
      <w:proofErr w:type="gramEnd"/>
      <w:r w:rsidR="00204C8B" w:rsidRPr="00EA245B">
        <w:rPr>
          <w:rFonts w:ascii="Arial" w:hAnsi="Arial" w:cs="Arial"/>
          <w:sz w:val="20"/>
          <w:szCs w:val="20"/>
        </w:rPr>
        <w:t>. Margono Soekarjo (</w:t>
      </w:r>
      <w:r w:rsidRPr="00EA245B">
        <w:rPr>
          <w:rFonts w:ascii="Arial" w:hAnsi="Arial" w:cs="Arial"/>
          <w:sz w:val="20"/>
          <w:szCs w:val="20"/>
        </w:rPr>
        <w:t>RSMS</w:t>
      </w:r>
      <w:r w:rsidR="00204C8B" w:rsidRPr="00EA245B">
        <w:rPr>
          <w:rFonts w:ascii="Arial" w:hAnsi="Arial" w:cs="Arial"/>
          <w:sz w:val="20"/>
          <w:szCs w:val="20"/>
        </w:rPr>
        <w:t>),</w:t>
      </w:r>
      <w:r w:rsidRPr="00EA245B">
        <w:rPr>
          <w:rFonts w:ascii="Arial" w:hAnsi="Arial" w:cs="Arial"/>
          <w:sz w:val="20"/>
          <w:szCs w:val="20"/>
        </w:rPr>
        <w:t xml:space="preserve"> Purwokerto (Savitri &amp; Sofia, 2012).</w:t>
      </w:r>
    </w:p>
    <w:p w:rsidR="00AA6923" w:rsidRPr="00EA245B" w:rsidRDefault="00AA6923" w:rsidP="00EA245B">
      <w:pPr>
        <w:spacing w:after="0" w:line="240" w:lineRule="auto"/>
        <w:ind w:firstLine="426"/>
        <w:jc w:val="both"/>
        <w:rPr>
          <w:rFonts w:ascii="Arial" w:hAnsi="Arial" w:cs="Arial"/>
          <w:sz w:val="20"/>
          <w:szCs w:val="20"/>
        </w:rPr>
      </w:pPr>
      <w:proofErr w:type="gramStart"/>
      <w:r w:rsidRPr="00EA245B">
        <w:rPr>
          <w:rFonts w:ascii="Arial" w:hAnsi="Arial" w:cs="Arial"/>
          <w:sz w:val="20"/>
          <w:szCs w:val="20"/>
        </w:rPr>
        <w:t>Etiologi KNF bersifat multi faktor yang terdiri dari faktor genetik, infeksi Epstein Barr virus (EBV) dan faktor lingkungan.</w:t>
      </w:r>
      <w:proofErr w:type="gramEnd"/>
      <w:r w:rsidRPr="00EA245B">
        <w:rPr>
          <w:rFonts w:ascii="Arial" w:hAnsi="Arial" w:cs="Arial"/>
          <w:sz w:val="20"/>
          <w:szCs w:val="20"/>
        </w:rPr>
        <w:t xml:space="preserve"> </w:t>
      </w:r>
      <w:proofErr w:type="gramStart"/>
      <w:r w:rsidRPr="00EA245B">
        <w:rPr>
          <w:rFonts w:ascii="Arial" w:hAnsi="Arial" w:cs="Arial"/>
          <w:sz w:val="20"/>
          <w:szCs w:val="20"/>
        </w:rPr>
        <w:t xml:space="preserve">Faktor genetik penyebab KNF yaitu kelainan kromosom, polimorfisme gen, dan </w:t>
      </w:r>
      <w:r w:rsidRPr="00EA245B">
        <w:rPr>
          <w:rFonts w:ascii="Arial" w:hAnsi="Arial" w:cs="Arial"/>
          <w:sz w:val="20"/>
          <w:szCs w:val="20"/>
        </w:rPr>
        <w:lastRenderedPageBreak/>
        <w:t>jenis ras.</w:t>
      </w:r>
      <w:proofErr w:type="gramEnd"/>
      <w:r w:rsidRPr="00EA245B">
        <w:rPr>
          <w:rFonts w:ascii="Arial" w:hAnsi="Arial" w:cs="Arial"/>
          <w:sz w:val="20"/>
          <w:szCs w:val="20"/>
        </w:rPr>
        <w:t xml:space="preserve"> Faktor lingkungan penyebab KNF yaitu kebiasan makan ikan asin dan makanan awetan yang mengandung nitrosamine, pajanan </w:t>
      </w:r>
      <w:proofErr w:type="gramStart"/>
      <w:r w:rsidRPr="00EA245B">
        <w:rPr>
          <w:rFonts w:ascii="Arial" w:hAnsi="Arial" w:cs="Arial"/>
          <w:sz w:val="20"/>
          <w:szCs w:val="20"/>
        </w:rPr>
        <w:t>asap</w:t>
      </w:r>
      <w:proofErr w:type="gramEnd"/>
      <w:r w:rsidRPr="00EA245B">
        <w:rPr>
          <w:rFonts w:ascii="Arial" w:hAnsi="Arial" w:cs="Arial"/>
          <w:sz w:val="20"/>
          <w:szCs w:val="20"/>
        </w:rPr>
        <w:t xml:space="preserve"> kayu, zat karsinogen, gas kimia, asap industri, asap obat nyamuk, dan asap rokok (Roezin, 1999).</w:t>
      </w:r>
    </w:p>
    <w:p w:rsidR="007D6FA5" w:rsidRPr="00EA245B" w:rsidRDefault="00AA6923" w:rsidP="00EA245B">
      <w:pPr>
        <w:spacing w:after="0" w:line="240" w:lineRule="auto"/>
        <w:ind w:firstLine="426"/>
        <w:jc w:val="both"/>
        <w:rPr>
          <w:rFonts w:ascii="Arial" w:hAnsi="Arial" w:cs="Arial"/>
          <w:sz w:val="20"/>
          <w:szCs w:val="20"/>
        </w:rPr>
      </w:pPr>
      <w:proofErr w:type="gramStart"/>
      <w:r w:rsidRPr="00EA245B">
        <w:rPr>
          <w:rFonts w:ascii="Arial" w:hAnsi="Arial" w:cs="Arial"/>
          <w:sz w:val="20"/>
          <w:szCs w:val="20"/>
        </w:rPr>
        <w:t>KNF tipe karsinoma tidak berdiferensiasi (</w:t>
      </w:r>
      <w:r w:rsidRPr="00EA245B">
        <w:rPr>
          <w:rFonts w:ascii="Arial" w:hAnsi="Arial" w:cs="Arial"/>
          <w:i/>
          <w:sz w:val="20"/>
          <w:szCs w:val="20"/>
        </w:rPr>
        <w:t>undifferentiated carcinoma</w:t>
      </w:r>
      <w:r w:rsidRPr="00EA245B">
        <w:rPr>
          <w:rFonts w:ascii="Arial" w:hAnsi="Arial" w:cs="Arial"/>
          <w:sz w:val="20"/>
          <w:szCs w:val="20"/>
        </w:rPr>
        <w:t xml:space="preserve">) atau KNF WHO-3 telah terbukti </w:t>
      </w:r>
      <w:r w:rsidR="00B94EF7" w:rsidRPr="00EA245B">
        <w:rPr>
          <w:rFonts w:ascii="Arial" w:hAnsi="Arial" w:cs="Arial"/>
          <w:sz w:val="20"/>
          <w:szCs w:val="20"/>
        </w:rPr>
        <w:t>konsisten</w:t>
      </w:r>
      <w:r w:rsidRPr="00EA245B">
        <w:rPr>
          <w:rFonts w:ascii="Arial" w:hAnsi="Arial" w:cs="Arial"/>
          <w:sz w:val="20"/>
          <w:szCs w:val="20"/>
        </w:rPr>
        <w:t xml:space="preserve"> dengan infeksi EBV (Steven et al., 2006).</w:t>
      </w:r>
      <w:proofErr w:type="gramEnd"/>
      <w:r w:rsidRPr="00EA245B">
        <w:rPr>
          <w:rFonts w:ascii="Arial" w:hAnsi="Arial" w:cs="Arial"/>
          <w:sz w:val="20"/>
          <w:szCs w:val="20"/>
        </w:rPr>
        <w:t xml:space="preserve"> EBV mempunyai dua fase dalam daur infeksinya yaitu fase litik dan fase laten. Pada fase litik EBV terjadi serangkaian ekspresi gen litik, replikasi genom virus dan produksi virion. </w:t>
      </w:r>
      <w:proofErr w:type="gramStart"/>
      <w:r w:rsidRPr="00EA245B">
        <w:rPr>
          <w:rFonts w:ascii="Arial" w:hAnsi="Arial" w:cs="Arial"/>
          <w:sz w:val="20"/>
          <w:szCs w:val="20"/>
        </w:rPr>
        <w:t xml:space="preserve">Infeksi litik EBV dibagi menjadi tiga fase yaitu fase </w:t>
      </w:r>
      <w:r w:rsidRPr="00EA245B">
        <w:rPr>
          <w:rFonts w:ascii="Arial" w:hAnsi="Arial" w:cs="Arial"/>
          <w:i/>
          <w:sz w:val="20"/>
          <w:szCs w:val="20"/>
        </w:rPr>
        <w:t xml:space="preserve">immediate-early, </w:t>
      </w:r>
      <w:r w:rsidRPr="00EA245B">
        <w:rPr>
          <w:rFonts w:ascii="Arial" w:hAnsi="Arial" w:cs="Arial"/>
          <w:sz w:val="20"/>
          <w:szCs w:val="20"/>
        </w:rPr>
        <w:t>fase</w:t>
      </w:r>
      <w:r w:rsidRPr="00EA245B">
        <w:rPr>
          <w:rFonts w:ascii="Arial" w:hAnsi="Arial" w:cs="Arial"/>
          <w:i/>
          <w:sz w:val="20"/>
          <w:szCs w:val="20"/>
        </w:rPr>
        <w:t xml:space="preserve"> early</w:t>
      </w:r>
      <w:r w:rsidR="00A214EC" w:rsidRPr="00EA245B">
        <w:rPr>
          <w:rFonts w:ascii="Arial" w:hAnsi="Arial" w:cs="Arial"/>
          <w:i/>
          <w:sz w:val="20"/>
          <w:szCs w:val="20"/>
        </w:rPr>
        <w:t>,</w:t>
      </w:r>
      <w:r w:rsidRPr="00EA245B">
        <w:rPr>
          <w:rFonts w:ascii="Arial" w:hAnsi="Arial" w:cs="Arial"/>
          <w:sz w:val="20"/>
          <w:szCs w:val="20"/>
        </w:rPr>
        <w:t xml:space="preserve"> dan fase </w:t>
      </w:r>
      <w:r w:rsidR="00673B30" w:rsidRPr="00EA245B">
        <w:rPr>
          <w:rFonts w:ascii="Arial" w:hAnsi="Arial" w:cs="Arial"/>
          <w:i/>
          <w:sz w:val="20"/>
          <w:szCs w:val="20"/>
        </w:rPr>
        <w:t>late</w:t>
      </w:r>
      <w:r w:rsidR="00EA245B">
        <w:rPr>
          <w:rFonts w:ascii="Arial" w:hAnsi="Arial" w:cs="Arial"/>
          <w:i/>
          <w:sz w:val="20"/>
          <w:szCs w:val="20"/>
          <w:lang w:val="id-ID"/>
        </w:rPr>
        <w:t xml:space="preserve"> </w:t>
      </w:r>
      <w:r w:rsidRPr="00EA245B">
        <w:rPr>
          <w:rFonts w:ascii="Arial" w:hAnsi="Arial" w:cs="Arial"/>
          <w:sz w:val="20"/>
          <w:szCs w:val="20"/>
        </w:rPr>
        <w:t>(Chang et al., 2004).</w:t>
      </w:r>
      <w:proofErr w:type="gramEnd"/>
      <w:r w:rsidRPr="00EA245B">
        <w:rPr>
          <w:rFonts w:ascii="Arial" w:hAnsi="Arial" w:cs="Arial"/>
          <w:sz w:val="20"/>
          <w:szCs w:val="20"/>
        </w:rPr>
        <w:t xml:space="preserve"> Gen litik </w:t>
      </w:r>
      <w:r w:rsidRPr="00EA245B">
        <w:rPr>
          <w:rFonts w:ascii="Arial" w:hAnsi="Arial" w:cs="Arial"/>
          <w:i/>
          <w:sz w:val="20"/>
          <w:szCs w:val="20"/>
        </w:rPr>
        <w:t>immediate-early</w:t>
      </w:r>
      <w:r w:rsidRPr="00EA245B">
        <w:rPr>
          <w:rFonts w:ascii="Arial" w:hAnsi="Arial" w:cs="Arial"/>
          <w:sz w:val="20"/>
          <w:szCs w:val="20"/>
        </w:rPr>
        <w:t xml:space="preserve"> EBV yaitu BRLF1 </w:t>
      </w:r>
      <w:r w:rsidRPr="00EA245B">
        <w:rPr>
          <w:rFonts w:ascii="Arial" w:hAnsi="Arial" w:cs="Arial"/>
          <w:sz w:val="20"/>
          <w:szCs w:val="20"/>
          <w:lang w:val="id-ID"/>
        </w:rPr>
        <w:t xml:space="preserve">berperan penting sebagai mediator transisi </w:t>
      </w:r>
      <w:r w:rsidRPr="00EA245B">
        <w:rPr>
          <w:rFonts w:ascii="Arial" w:hAnsi="Arial" w:cs="Arial"/>
          <w:sz w:val="20"/>
          <w:szCs w:val="20"/>
        </w:rPr>
        <w:t xml:space="preserve">dari </w:t>
      </w:r>
      <w:r w:rsidRPr="00EA245B">
        <w:rPr>
          <w:rFonts w:ascii="Arial" w:hAnsi="Arial" w:cs="Arial"/>
          <w:sz w:val="20"/>
          <w:szCs w:val="20"/>
          <w:lang w:val="id-ID"/>
        </w:rPr>
        <w:t>fase laten menj</w:t>
      </w:r>
      <w:r w:rsidRPr="00EA245B">
        <w:rPr>
          <w:rFonts w:ascii="Arial" w:hAnsi="Arial" w:cs="Arial"/>
          <w:sz w:val="20"/>
          <w:szCs w:val="20"/>
        </w:rPr>
        <w:t>adi</w:t>
      </w:r>
      <w:r w:rsidRPr="00EA245B">
        <w:rPr>
          <w:rFonts w:ascii="Arial" w:hAnsi="Arial" w:cs="Arial"/>
          <w:sz w:val="20"/>
          <w:szCs w:val="20"/>
          <w:lang w:val="id-ID"/>
        </w:rPr>
        <w:t xml:space="preserve"> fase litik </w:t>
      </w:r>
      <w:r w:rsidRPr="00EA245B">
        <w:rPr>
          <w:rFonts w:ascii="Arial" w:hAnsi="Arial" w:cs="Arial"/>
          <w:sz w:val="20"/>
          <w:szCs w:val="20"/>
        </w:rPr>
        <w:t xml:space="preserve">dalam </w:t>
      </w:r>
      <w:r w:rsidRPr="00EA245B">
        <w:rPr>
          <w:rFonts w:ascii="Arial" w:hAnsi="Arial" w:cs="Arial"/>
          <w:sz w:val="20"/>
          <w:szCs w:val="20"/>
          <w:lang w:val="id-ID"/>
        </w:rPr>
        <w:t>daur infeksi EBV</w:t>
      </w:r>
      <w:r w:rsidRPr="00EA245B">
        <w:rPr>
          <w:rFonts w:ascii="Arial" w:hAnsi="Arial" w:cs="Arial"/>
          <w:sz w:val="20"/>
          <w:szCs w:val="20"/>
        </w:rPr>
        <w:t>. Deteksi gen litik BRLF1</w:t>
      </w:r>
      <w:r w:rsidRPr="00EA245B">
        <w:rPr>
          <w:rFonts w:ascii="Arial" w:hAnsi="Arial" w:cs="Arial"/>
          <w:i/>
          <w:sz w:val="20"/>
          <w:szCs w:val="20"/>
        </w:rPr>
        <w:t xml:space="preserve"> </w:t>
      </w:r>
      <w:r w:rsidRPr="00EA245B">
        <w:rPr>
          <w:rFonts w:ascii="Arial" w:hAnsi="Arial" w:cs="Arial"/>
          <w:sz w:val="20"/>
          <w:szCs w:val="20"/>
        </w:rPr>
        <w:t>EBV dapat digunakan untuk menegakkan diagnosis</w:t>
      </w:r>
      <w:r w:rsidR="0038654E" w:rsidRPr="00EA245B">
        <w:rPr>
          <w:rFonts w:ascii="Arial" w:hAnsi="Arial" w:cs="Arial"/>
          <w:sz w:val="20"/>
          <w:szCs w:val="20"/>
        </w:rPr>
        <w:t xml:space="preserve"> </w:t>
      </w:r>
      <w:r w:rsidRPr="00EA245B">
        <w:rPr>
          <w:rFonts w:ascii="Arial" w:hAnsi="Arial" w:cs="Arial"/>
          <w:sz w:val="20"/>
          <w:szCs w:val="20"/>
        </w:rPr>
        <w:t xml:space="preserve">KNF yang lebih dini dan meningkatkan efisiensi dalam penanganan KNF (Cacais, 2008). </w:t>
      </w:r>
    </w:p>
    <w:p w:rsidR="00AA6923" w:rsidRPr="00EA245B" w:rsidRDefault="00AA6923" w:rsidP="00EA245B">
      <w:pPr>
        <w:spacing w:after="0" w:line="240" w:lineRule="auto"/>
        <w:ind w:firstLine="426"/>
        <w:jc w:val="both"/>
        <w:rPr>
          <w:rFonts w:ascii="Arial" w:hAnsi="Arial" w:cs="Arial"/>
          <w:sz w:val="20"/>
          <w:szCs w:val="20"/>
        </w:rPr>
      </w:pPr>
      <w:r w:rsidRPr="00EA245B">
        <w:rPr>
          <w:rFonts w:ascii="Arial" w:hAnsi="Arial" w:cs="Arial"/>
          <w:sz w:val="20"/>
          <w:szCs w:val="20"/>
          <w:lang w:val="id-ID"/>
        </w:rPr>
        <w:t xml:space="preserve">Berdasarkan latar belakang yang telah </w:t>
      </w:r>
      <w:r w:rsidRPr="00EA245B">
        <w:rPr>
          <w:rFonts w:ascii="Arial" w:hAnsi="Arial" w:cs="Arial"/>
          <w:sz w:val="20"/>
          <w:szCs w:val="20"/>
        </w:rPr>
        <w:t>disampaikan</w:t>
      </w:r>
      <w:r w:rsidRPr="00EA245B">
        <w:rPr>
          <w:rFonts w:ascii="Arial" w:hAnsi="Arial" w:cs="Arial"/>
          <w:sz w:val="20"/>
          <w:szCs w:val="20"/>
          <w:lang w:val="id-ID"/>
        </w:rPr>
        <w:t xml:space="preserve">, maka </w:t>
      </w:r>
      <w:r w:rsidRPr="00EA245B">
        <w:rPr>
          <w:rFonts w:ascii="Arial" w:hAnsi="Arial" w:cs="Arial"/>
          <w:sz w:val="20"/>
          <w:szCs w:val="20"/>
        </w:rPr>
        <w:t>per</w:t>
      </w:r>
      <w:r w:rsidRPr="00EA245B">
        <w:rPr>
          <w:rFonts w:ascii="Arial" w:hAnsi="Arial" w:cs="Arial"/>
          <w:sz w:val="20"/>
          <w:szCs w:val="20"/>
          <w:lang w:val="id-ID"/>
        </w:rPr>
        <w:t>masalah</w:t>
      </w:r>
      <w:r w:rsidRPr="00EA245B">
        <w:rPr>
          <w:rFonts w:ascii="Arial" w:hAnsi="Arial" w:cs="Arial"/>
          <w:sz w:val="20"/>
          <w:szCs w:val="20"/>
        </w:rPr>
        <w:t>an</w:t>
      </w:r>
      <w:r w:rsidRPr="00EA245B">
        <w:rPr>
          <w:rFonts w:ascii="Arial" w:hAnsi="Arial" w:cs="Arial"/>
          <w:sz w:val="20"/>
          <w:szCs w:val="20"/>
          <w:lang w:val="id-ID"/>
        </w:rPr>
        <w:t xml:space="preserve"> yang perlu dikaji adalah</w:t>
      </w:r>
      <w:r w:rsidRPr="00EA245B">
        <w:rPr>
          <w:rFonts w:ascii="Arial" w:hAnsi="Arial" w:cs="Arial"/>
          <w:sz w:val="20"/>
          <w:szCs w:val="20"/>
        </w:rPr>
        <w:t xml:space="preserve"> a</w:t>
      </w:r>
      <w:r w:rsidRPr="00EA245B">
        <w:rPr>
          <w:rFonts w:ascii="Arial" w:hAnsi="Arial" w:cs="Arial"/>
          <w:sz w:val="20"/>
          <w:szCs w:val="20"/>
          <w:lang w:val="id-ID"/>
        </w:rPr>
        <w:t xml:space="preserve">pakah pada </w:t>
      </w:r>
      <w:r w:rsidRPr="00EA245B">
        <w:rPr>
          <w:rFonts w:ascii="Arial" w:hAnsi="Arial" w:cs="Arial"/>
          <w:sz w:val="20"/>
          <w:szCs w:val="20"/>
        </w:rPr>
        <w:t>penderita KNF dapat diidentifikasi</w:t>
      </w:r>
      <w:r w:rsidRPr="00EA245B">
        <w:rPr>
          <w:rFonts w:ascii="Arial" w:hAnsi="Arial" w:cs="Arial"/>
          <w:sz w:val="20"/>
          <w:szCs w:val="20"/>
          <w:lang w:val="id-ID"/>
        </w:rPr>
        <w:t xml:space="preserve"> gen </w:t>
      </w:r>
      <w:r w:rsidRPr="00EA245B">
        <w:rPr>
          <w:rFonts w:ascii="Arial" w:hAnsi="Arial" w:cs="Arial"/>
          <w:sz w:val="20"/>
          <w:szCs w:val="20"/>
        </w:rPr>
        <w:t xml:space="preserve">BRLF1 dengan </w:t>
      </w:r>
      <w:r w:rsidRPr="00EA245B">
        <w:rPr>
          <w:rFonts w:ascii="Arial" w:hAnsi="Arial" w:cs="Arial"/>
          <w:sz w:val="20"/>
          <w:szCs w:val="20"/>
        </w:rPr>
        <w:lastRenderedPageBreak/>
        <w:t>teknik PCR (</w:t>
      </w:r>
      <w:r w:rsidRPr="00EA245B">
        <w:rPr>
          <w:rFonts w:ascii="Arial" w:hAnsi="Arial" w:cs="Arial"/>
          <w:i/>
          <w:sz w:val="20"/>
          <w:szCs w:val="20"/>
        </w:rPr>
        <w:t>Polymerase Chain Reaction</w:t>
      </w:r>
      <w:r w:rsidRPr="00EA245B">
        <w:rPr>
          <w:rFonts w:ascii="Arial" w:hAnsi="Arial" w:cs="Arial"/>
          <w:sz w:val="20"/>
          <w:szCs w:val="20"/>
        </w:rPr>
        <w:t xml:space="preserve">) konvensional dan bagaimanakah sensitivitas metode PCR konvensional dalam mendeteksi gen BRLF1. </w:t>
      </w:r>
      <w:r w:rsidRPr="00EA245B">
        <w:rPr>
          <w:rFonts w:ascii="Arial" w:hAnsi="Arial" w:cs="Arial"/>
          <w:sz w:val="20"/>
          <w:szCs w:val="20"/>
          <w:lang w:val="id-ID"/>
        </w:rPr>
        <w:t>Penelitian ini bertujuan untuk</w:t>
      </w:r>
      <w:r w:rsidRPr="00EA245B">
        <w:rPr>
          <w:rFonts w:ascii="Arial" w:hAnsi="Arial" w:cs="Arial"/>
          <w:sz w:val="20"/>
          <w:szCs w:val="20"/>
        </w:rPr>
        <w:t xml:space="preserve"> m</w:t>
      </w:r>
      <w:r w:rsidRPr="00EA245B">
        <w:rPr>
          <w:rFonts w:ascii="Arial" w:hAnsi="Arial" w:cs="Arial"/>
          <w:sz w:val="20"/>
          <w:szCs w:val="20"/>
          <w:lang w:val="id-ID"/>
        </w:rPr>
        <w:t xml:space="preserve">elakukan identifikasi gen BRLF1 sebagai petanda molekuler siklus litik Epstein-Barr virus pada penderita </w:t>
      </w:r>
      <w:r w:rsidRPr="00EA245B">
        <w:rPr>
          <w:rFonts w:ascii="Arial" w:hAnsi="Arial" w:cs="Arial"/>
          <w:sz w:val="20"/>
          <w:szCs w:val="20"/>
        </w:rPr>
        <w:t>k</w:t>
      </w:r>
      <w:r w:rsidRPr="00EA245B">
        <w:rPr>
          <w:rFonts w:ascii="Arial" w:hAnsi="Arial" w:cs="Arial"/>
          <w:sz w:val="20"/>
          <w:szCs w:val="20"/>
          <w:lang w:val="id-ID"/>
        </w:rPr>
        <w:t xml:space="preserve">arsinoma </w:t>
      </w:r>
      <w:r w:rsidRPr="00EA245B">
        <w:rPr>
          <w:rFonts w:ascii="Arial" w:hAnsi="Arial" w:cs="Arial"/>
          <w:sz w:val="20"/>
          <w:szCs w:val="20"/>
        </w:rPr>
        <w:t>n</w:t>
      </w:r>
      <w:r w:rsidRPr="00EA245B">
        <w:rPr>
          <w:rFonts w:ascii="Arial" w:hAnsi="Arial" w:cs="Arial"/>
          <w:sz w:val="20"/>
          <w:szCs w:val="20"/>
          <w:lang w:val="id-ID"/>
        </w:rPr>
        <w:t>asofaring</w:t>
      </w:r>
      <w:r w:rsidRPr="00EA245B">
        <w:rPr>
          <w:rFonts w:ascii="Arial" w:hAnsi="Arial" w:cs="Arial"/>
          <w:sz w:val="20"/>
          <w:szCs w:val="20"/>
        </w:rPr>
        <w:t xml:space="preserve"> dengan teknik PCR konvensional dan mengetahui sensitivitas metode PCR konvensional dalam mendeteksi gen BRLF1. </w:t>
      </w:r>
      <w:r w:rsidRPr="00EA245B">
        <w:rPr>
          <w:rFonts w:ascii="Arial" w:hAnsi="Arial" w:cs="Arial"/>
          <w:sz w:val="20"/>
          <w:szCs w:val="20"/>
          <w:lang w:val="id-ID"/>
        </w:rPr>
        <w:t xml:space="preserve">Hasil penelitian ini diharapkan dapat </w:t>
      </w:r>
      <w:r w:rsidRPr="00EA245B">
        <w:rPr>
          <w:rFonts w:ascii="Arial" w:hAnsi="Arial" w:cs="Arial"/>
          <w:sz w:val="20"/>
          <w:szCs w:val="20"/>
        </w:rPr>
        <w:t>memberikan informasi ilmiah tentang teknik molekuler untuk identifikasi gen-gen EBV pada penderita KNF, sehingga analasis molekuler DNA EBV dapat dijadikan acuan para klinisi dalam diagnosis dan penanganan KNF.</w:t>
      </w:r>
    </w:p>
    <w:p w:rsidR="00AA6923" w:rsidRPr="00EA245B" w:rsidRDefault="00AA6923" w:rsidP="00115F54">
      <w:pPr>
        <w:autoSpaceDE w:val="0"/>
        <w:autoSpaceDN w:val="0"/>
        <w:adjustRightInd w:val="0"/>
        <w:spacing w:after="0" w:line="240" w:lineRule="auto"/>
        <w:ind w:firstLine="567"/>
        <w:jc w:val="both"/>
        <w:rPr>
          <w:rFonts w:ascii="Arial" w:hAnsi="Arial" w:cs="Arial"/>
          <w:sz w:val="20"/>
          <w:szCs w:val="20"/>
        </w:rPr>
      </w:pPr>
    </w:p>
    <w:p w:rsidR="00BB1E8A" w:rsidRPr="00EA245B" w:rsidRDefault="00AA6923" w:rsidP="00EA245B">
      <w:pPr>
        <w:autoSpaceDE w:val="0"/>
        <w:autoSpaceDN w:val="0"/>
        <w:adjustRightInd w:val="0"/>
        <w:spacing w:after="0" w:line="360" w:lineRule="auto"/>
        <w:jc w:val="center"/>
        <w:rPr>
          <w:rFonts w:ascii="Arial" w:hAnsi="Arial" w:cs="Arial"/>
          <w:b/>
          <w:sz w:val="20"/>
          <w:szCs w:val="20"/>
        </w:rPr>
      </w:pPr>
      <w:r w:rsidRPr="00EA245B">
        <w:rPr>
          <w:rFonts w:ascii="Arial" w:hAnsi="Arial" w:cs="Arial"/>
          <w:b/>
          <w:sz w:val="20"/>
          <w:szCs w:val="20"/>
        </w:rPr>
        <w:t>METODE</w:t>
      </w:r>
    </w:p>
    <w:p w:rsidR="000D5E0B" w:rsidRPr="00EA245B" w:rsidRDefault="000D5E0B" w:rsidP="00BB1E8A">
      <w:pPr>
        <w:autoSpaceDE w:val="0"/>
        <w:autoSpaceDN w:val="0"/>
        <w:adjustRightInd w:val="0"/>
        <w:spacing w:after="0"/>
        <w:jc w:val="both"/>
        <w:rPr>
          <w:rFonts w:ascii="Arial" w:hAnsi="Arial" w:cs="Arial"/>
          <w:b/>
          <w:sz w:val="20"/>
          <w:szCs w:val="20"/>
        </w:rPr>
      </w:pPr>
      <w:r w:rsidRPr="00EA245B">
        <w:rPr>
          <w:rFonts w:ascii="Arial" w:hAnsi="Arial" w:cs="Arial"/>
          <w:b/>
          <w:sz w:val="20"/>
          <w:szCs w:val="20"/>
        </w:rPr>
        <w:t>Lokasi dan Waktu Penelitian</w:t>
      </w:r>
    </w:p>
    <w:p w:rsidR="000D5E0B" w:rsidRPr="00EA245B" w:rsidRDefault="000D5E0B" w:rsidP="00EA245B">
      <w:pPr>
        <w:autoSpaceDE w:val="0"/>
        <w:autoSpaceDN w:val="0"/>
        <w:adjustRightInd w:val="0"/>
        <w:spacing w:after="0" w:line="240" w:lineRule="auto"/>
        <w:ind w:firstLine="426"/>
        <w:jc w:val="both"/>
        <w:rPr>
          <w:rFonts w:ascii="Arial" w:hAnsi="Arial" w:cs="Arial"/>
          <w:sz w:val="20"/>
          <w:szCs w:val="20"/>
        </w:rPr>
      </w:pPr>
      <w:r w:rsidRPr="00EA245B">
        <w:rPr>
          <w:rFonts w:ascii="Arial" w:hAnsi="Arial" w:cs="Arial"/>
          <w:sz w:val="20"/>
          <w:szCs w:val="20"/>
        </w:rPr>
        <w:t xml:space="preserve">Penelitian ini dilaksanakan di Poli THT RSUD Prof. </w:t>
      </w:r>
      <w:proofErr w:type="gramStart"/>
      <w:r w:rsidRPr="00EA245B">
        <w:rPr>
          <w:rFonts w:ascii="Arial" w:hAnsi="Arial" w:cs="Arial"/>
          <w:sz w:val="20"/>
          <w:szCs w:val="20"/>
        </w:rPr>
        <w:t>dr</w:t>
      </w:r>
      <w:proofErr w:type="gramEnd"/>
      <w:r w:rsidRPr="00EA245B">
        <w:rPr>
          <w:rFonts w:ascii="Arial" w:hAnsi="Arial" w:cs="Arial"/>
          <w:sz w:val="20"/>
          <w:szCs w:val="20"/>
        </w:rPr>
        <w:t xml:space="preserve">. Margono Soekarjo Purwokerto dan Laboratorium Genetika dan Biologi Molekuler Fakultas Biologi Unsoed. </w:t>
      </w:r>
      <w:proofErr w:type="gramStart"/>
      <w:r w:rsidRPr="00EA245B">
        <w:rPr>
          <w:rFonts w:ascii="Arial" w:hAnsi="Arial" w:cs="Arial"/>
          <w:sz w:val="20"/>
          <w:szCs w:val="20"/>
        </w:rPr>
        <w:t xml:space="preserve">Penelitian ini dilakukan selama enam bulan dari bulan </w:t>
      </w:r>
      <w:r w:rsidRPr="00EA245B">
        <w:rPr>
          <w:rFonts w:ascii="Arial" w:hAnsi="Arial" w:cs="Arial"/>
          <w:sz w:val="20"/>
          <w:szCs w:val="20"/>
          <w:highlight w:val="yellow"/>
        </w:rPr>
        <w:t>September 2014-Februari 2015</w:t>
      </w:r>
      <w:r w:rsidRPr="00EA245B">
        <w:rPr>
          <w:rFonts w:ascii="Arial" w:hAnsi="Arial" w:cs="Arial"/>
          <w:sz w:val="20"/>
          <w:szCs w:val="20"/>
        </w:rPr>
        <w:t>.</w:t>
      </w:r>
      <w:proofErr w:type="gramEnd"/>
    </w:p>
    <w:p w:rsidR="000D5E0B" w:rsidRPr="00EA245B" w:rsidRDefault="000D5E0B" w:rsidP="00115F54">
      <w:pPr>
        <w:autoSpaceDE w:val="0"/>
        <w:autoSpaceDN w:val="0"/>
        <w:adjustRightInd w:val="0"/>
        <w:spacing w:after="0" w:line="240" w:lineRule="auto"/>
        <w:jc w:val="both"/>
        <w:rPr>
          <w:rFonts w:ascii="Arial" w:hAnsi="Arial" w:cs="Arial"/>
          <w:sz w:val="20"/>
          <w:szCs w:val="20"/>
        </w:rPr>
      </w:pPr>
    </w:p>
    <w:p w:rsidR="00BB1E8A" w:rsidRPr="00EA245B" w:rsidRDefault="000D5E0B" w:rsidP="00EA245B">
      <w:pPr>
        <w:autoSpaceDE w:val="0"/>
        <w:autoSpaceDN w:val="0"/>
        <w:adjustRightInd w:val="0"/>
        <w:spacing w:after="0" w:line="240" w:lineRule="auto"/>
        <w:jc w:val="both"/>
        <w:rPr>
          <w:rFonts w:ascii="Arial" w:hAnsi="Arial" w:cs="Arial"/>
          <w:b/>
          <w:sz w:val="20"/>
          <w:szCs w:val="20"/>
        </w:rPr>
      </w:pPr>
      <w:r w:rsidRPr="00EA245B">
        <w:rPr>
          <w:rFonts w:ascii="Arial" w:hAnsi="Arial" w:cs="Arial"/>
          <w:b/>
          <w:sz w:val="20"/>
          <w:szCs w:val="20"/>
        </w:rPr>
        <w:t>Rancangan Pe</w:t>
      </w:r>
      <w:r w:rsidR="00B94EF7" w:rsidRPr="00EA245B">
        <w:rPr>
          <w:rFonts w:ascii="Arial" w:hAnsi="Arial" w:cs="Arial"/>
          <w:b/>
          <w:sz w:val="20"/>
          <w:szCs w:val="20"/>
        </w:rPr>
        <w:t>nelitian</w:t>
      </w:r>
    </w:p>
    <w:p w:rsidR="000D5E0B" w:rsidRPr="00EA245B" w:rsidRDefault="000D5E0B" w:rsidP="00EA245B">
      <w:pPr>
        <w:autoSpaceDE w:val="0"/>
        <w:autoSpaceDN w:val="0"/>
        <w:adjustRightInd w:val="0"/>
        <w:spacing w:after="0" w:line="240" w:lineRule="auto"/>
        <w:ind w:firstLine="426"/>
        <w:jc w:val="both"/>
        <w:rPr>
          <w:rFonts w:ascii="Arial" w:hAnsi="Arial" w:cs="Arial"/>
          <w:b/>
          <w:sz w:val="20"/>
          <w:szCs w:val="20"/>
        </w:rPr>
      </w:pPr>
      <w:proofErr w:type="gramStart"/>
      <w:r w:rsidRPr="00EA245B">
        <w:rPr>
          <w:rFonts w:ascii="Arial" w:hAnsi="Arial" w:cs="Arial"/>
          <w:sz w:val="20"/>
          <w:szCs w:val="20"/>
        </w:rPr>
        <w:t>Rancangan penelitian yang digunakan adalah metode deskriptif yang berbentuk studi belah lintang (</w:t>
      </w:r>
      <w:r w:rsidRPr="00EA245B">
        <w:rPr>
          <w:rFonts w:ascii="Arial" w:hAnsi="Arial" w:cs="Arial"/>
          <w:i/>
          <w:sz w:val="20"/>
          <w:szCs w:val="20"/>
        </w:rPr>
        <w:t>cross sectional</w:t>
      </w:r>
      <w:r w:rsidRPr="00EA245B">
        <w:rPr>
          <w:rFonts w:ascii="Arial" w:hAnsi="Arial" w:cs="Arial"/>
          <w:sz w:val="20"/>
          <w:szCs w:val="20"/>
        </w:rPr>
        <w:t>) yaitu pengambilan sampel dilakukan satu kali tanpa perlakuan.</w:t>
      </w:r>
      <w:proofErr w:type="gramEnd"/>
      <w:r w:rsidRPr="00EA245B">
        <w:rPr>
          <w:rFonts w:ascii="Arial" w:hAnsi="Arial" w:cs="Arial"/>
          <w:sz w:val="20"/>
          <w:szCs w:val="20"/>
        </w:rPr>
        <w:t xml:space="preserve"> Sampel penelitian adalah jaringan darah vena penderita KNF dengan diagnosis pasti hasil pemeriksaan Patologi Anatomi dari Poli THT RSUD Prof. </w:t>
      </w:r>
      <w:proofErr w:type="gramStart"/>
      <w:r w:rsidRPr="00EA245B">
        <w:rPr>
          <w:rFonts w:ascii="Arial" w:hAnsi="Arial" w:cs="Arial"/>
          <w:sz w:val="20"/>
          <w:szCs w:val="20"/>
        </w:rPr>
        <w:t>dr</w:t>
      </w:r>
      <w:proofErr w:type="gramEnd"/>
      <w:r w:rsidRPr="00EA245B">
        <w:rPr>
          <w:rFonts w:ascii="Arial" w:hAnsi="Arial" w:cs="Arial"/>
          <w:sz w:val="20"/>
          <w:szCs w:val="20"/>
        </w:rPr>
        <w:t xml:space="preserve">. Margono Soekarjo, Purwokerto. Menurut </w:t>
      </w:r>
      <w:r w:rsidRPr="00EA245B">
        <w:rPr>
          <w:rFonts w:ascii="Arial" w:hAnsi="Arial" w:cs="Arial"/>
          <w:i/>
          <w:sz w:val="20"/>
          <w:szCs w:val="20"/>
        </w:rPr>
        <w:t>Incidency Primary Cancer in Indonesia Pathology Base</w:t>
      </w:r>
      <w:r w:rsidRPr="00EA245B">
        <w:rPr>
          <w:rFonts w:ascii="Arial" w:hAnsi="Arial" w:cs="Arial"/>
          <w:sz w:val="20"/>
          <w:szCs w:val="20"/>
        </w:rPr>
        <w:t xml:space="preserve"> (1990), proporsi jumlah pasien KNF dibandingkan dengan kanker lain adalah 5</w:t>
      </w:r>
      <w:proofErr w:type="gramStart"/>
      <w:r w:rsidRPr="00EA245B">
        <w:rPr>
          <w:rFonts w:ascii="Arial" w:hAnsi="Arial" w:cs="Arial"/>
          <w:sz w:val="20"/>
          <w:szCs w:val="20"/>
        </w:rPr>
        <w:t>,46</w:t>
      </w:r>
      <w:proofErr w:type="gramEnd"/>
      <w:r w:rsidRPr="00EA245B">
        <w:rPr>
          <w:rFonts w:ascii="Arial" w:hAnsi="Arial" w:cs="Arial"/>
          <w:sz w:val="20"/>
          <w:szCs w:val="20"/>
        </w:rPr>
        <w:t>%, maka besar sampel minimal yang diperlukan dalam penelitian ini adalah 22 orang.</w:t>
      </w:r>
    </w:p>
    <w:p w:rsidR="000D5E0B" w:rsidRPr="00EA245B" w:rsidRDefault="000D5E0B" w:rsidP="00115F54">
      <w:pPr>
        <w:autoSpaceDE w:val="0"/>
        <w:autoSpaceDN w:val="0"/>
        <w:adjustRightInd w:val="0"/>
        <w:spacing w:after="0" w:line="240" w:lineRule="auto"/>
        <w:jc w:val="both"/>
        <w:rPr>
          <w:rFonts w:ascii="Arial" w:hAnsi="Arial" w:cs="Arial"/>
          <w:sz w:val="20"/>
          <w:szCs w:val="20"/>
        </w:rPr>
      </w:pPr>
    </w:p>
    <w:p w:rsidR="00732FC5" w:rsidRPr="00EA245B" w:rsidRDefault="005A3917" w:rsidP="00732FC5">
      <w:pPr>
        <w:autoSpaceDE w:val="0"/>
        <w:autoSpaceDN w:val="0"/>
        <w:adjustRightInd w:val="0"/>
        <w:spacing w:after="0"/>
        <w:jc w:val="both"/>
        <w:rPr>
          <w:rFonts w:ascii="Arial" w:hAnsi="Arial" w:cs="Arial"/>
          <w:b/>
          <w:sz w:val="20"/>
          <w:szCs w:val="20"/>
        </w:rPr>
      </w:pPr>
      <w:r w:rsidRPr="00EA245B">
        <w:rPr>
          <w:rFonts w:ascii="Arial" w:hAnsi="Arial" w:cs="Arial"/>
          <w:b/>
          <w:sz w:val="20"/>
          <w:szCs w:val="20"/>
        </w:rPr>
        <w:t>Variabel</w:t>
      </w:r>
    </w:p>
    <w:p w:rsidR="000D5E0B" w:rsidRPr="00EA245B" w:rsidRDefault="005A3917" w:rsidP="00EA245B">
      <w:pPr>
        <w:autoSpaceDE w:val="0"/>
        <w:autoSpaceDN w:val="0"/>
        <w:adjustRightInd w:val="0"/>
        <w:spacing w:after="0" w:line="240" w:lineRule="auto"/>
        <w:ind w:firstLine="426"/>
        <w:jc w:val="both"/>
        <w:rPr>
          <w:rFonts w:ascii="Arial" w:hAnsi="Arial" w:cs="Arial"/>
          <w:sz w:val="20"/>
          <w:szCs w:val="20"/>
        </w:rPr>
      </w:pPr>
      <w:proofErr w:type="gramStart"/>
      <w:r w:rsidRPr="00EA245B">
        <w:rPr>
          <w:rFonts w:ascii="Arial" w:hAnsi="Arial" w:cs="Arial"/>
          <w:sz w:val="20"/>
          <w:szCs w:val="20"/>
        </w:rPr>
        <w:t>Variabel yang diamati dalam penelitian ini terdiri dari variabel bebas dan tergantung.</w:t>
      </w:r>
      <w:proofErr w:type="gramEnd"/>
      <w:r w:rsidRPr="00EA245B">
        <w:rPr>
          <w:rFonts w:ascii="Arial" w:hAnsi="Arial" w:cs="Arial"/>
          <w:sz w:val="20"/>
          <w:szCs w:val="20"/>
        </w:rPr>
        <w:t xml:space="preserve"> Variabel bebas yang diamati adalah ukuran produk PCR (amplikon DNA) fragmen gen BRLF1, sedangkan variabel tergantung adalah eksistensi gen BRLF1 dari genom EBV.</w:t>
      </w:r>
    </w:p>
    <w:p w:rsidR="00AA6923" w:rsidRPr="00EA245B" w:rsidRDefault="00AA6923" w:rsidP="00115F54">
      <w:pPr>
        <w:autoSpaceDE w:val="0"/>
        <w:autoSpaceDN w:val="0"/>
        <w:adjustRightInd w:val="0"/>
        <w:spacing w:after="0" w:line="240" w:lineRule="auto"/>
        <w:jc w:val="both"/>
        <w:rPr>
          <w:rFonts w:ascii="Arial" w:hAnsi="Arial" w:cs="Arial"/>
          <w:b/>
          <w:sz w:val="20"/>
          <w:szCs w:val="20"/>
        </w:rPr>
      </w:pPr>
    </w:p>
    <w:p w:rsidR="00115F54" w:rsidRPr="00EA245B" w:rsidRDefault="00115F54" w:rsidP="0038654E">
      <w:pPr>
        <w:spacing w:after="0" w:line="360" w:lineRule="auto"/>
        <w:jc w:val="both"/>
        <w:rPr>
          <w:rFonts w:ascii="Arial" w:hAnsi="Arial" w:cs="Arial"/>
          <w:b/>
          <w:sz w:val="20"/>
          <w:szCs w:val="20"/>
        </w:rPr>
      </w:pPr>
      <w:r w:rsidRPr="00EA245B">
        <w:rPr>
          <w:rFonts w:ascii="Arial" w:hAnsi="Arial" w:cs="Arial"/>
          <w:b/>
          <w:sz w:val="20"/>
          <w:szCs w:val="20"/>
        </w:rPr>
        <w:t>CARA KERJA</w:t>
      </w:r>
    </w:p>
    <w:p w:rsidR="00115F54" w:rsidRPr="00EA245B" w:rsidRDefault="00115F54" w:rsidP="00732FC5">
      <w:pPr>
        <w:tabs>
          <w:tab w:val="left" w:pos="851"/>
        </w:tabs>
        <w:spacing w:after="0"/>
        <w:jc w:val="both"/>
        <w:rPr>
          <w:rFonts w:ascii="Arial" w:hAnsi="Arial" w:cs="Arial"/>
          <w:b/>
          <w:sz w:val="20"/>
          <w:szCs w:val="20"/>
        </w:rPr>
      </w:pPr>
      <w:r w:rsidRPr="00EA245B">
        <w:rPr>
          <w:rFonts w:ascii="Arial" w:hAnsi="Arial" w:cs="Arial"/>
          <w:b/>
          <w:sz w:val="20"/>
          <w:szCs w:val="20"/>
        </w:rPr>
        <w:lastRenderedPageBreak/>
        <w:t>Pengambilan sampel</w:t>
      </w:r>
    </w:p>
    <w:p w:rsidR="00115F54" w:rsidRPr="00EA245B" w:rsidRDefault="00115F54" w:rsidP="00EA245B">
      <w:pPr>
        <w:autoSpaceDE w:val="0"/>
        <w:autoSpaceDN w:val="0"/>
        <w:adjustRightInd w:val="0"/>
        <w:spacing w:after="0" w:line="240" w:lineRule="auto"/>
        <w:ind w:firstLine="426"/>
        <w:jc w:val="both"/>
        <w:rPr>
          <w:rFonts w:ascii="Arial" w:hAnsi="Arial" w:cs="Arial"/>
          <w:sz w:val="20"/>
          <w:szCs w:val="20"/>
        </w:rPr>
      </w:pPr>
      <w:r w:rsidRPr="00EA245B">
        <w:rPr>
          <w:rFonts w:ascii="Arial" w:hAnsi="Arial" w:cs="Arial"/>
          <w:sz w:val="20"/>
          <w:szCs w:val="20"/>
        </w:rPr>
        <w:t xml:space="preserve">Subyek penelitian adalah penderita KNF dengan diagnosis pasti dari hasil pemeriksaan Patologi Anatomi dan memiliki </w:t>
      </w:r>
      <w:r w:rsidRPr="00EA245B">
        <w:rPr>
          <w:rFonts w:ascii="Arial" w:hAnsi="Arial" w:cs="Arial"/>
          <w:i/>
          <w:sz w:val="20"/>
          <w:szCs w:val="20"/>
        </w:rPr>
        <w:t>informed consent</w:t>
      </w:r>
      <w:r w:rsidRPr="00EA245B">
        <w:rPr>
          <w:rFonts w:ascii="Arial" w:hAnsi="Arial" w:cs="Arial"/>
          <w:sz w:val="20"/>
          <w:szCs w:val="20"/>
        </w:rPr>
        <w:t xml:space="preserve">. </w:t>
      </w:r>
      <w:proofErr w:type="gramStart"/>
      <w:r w:rsidRPr="00EA245B">
        <w:rPr>
          <w:rFonts w:ascii="Arial" w:hAnsi="Arial" w:cs="Arial"/>
          <w:sz w:val="20"/>
          <w:szCs w:val="20"/>
        </w:rPr>
        <w:t>Kriteria inklusi subyek penelitian adalah pertama, penderita KNF dengan diagnosis pasti dari hasil pemeriksaan Patologi Anatomi sebelum terapi yang berusia &gt;15 tahun; kedua, sampel penelitian yang dapat ditentukan tipe KNFnya; ketiga sampel penelitian yang dapat dite</w:t>
      </w:r>
      <w:r w:rsidR="00732FC5" w:rsidRPr="00EA245B">
        <w:rPr>
          <w:rFonts w:ascii="Arial" w:hAnsi="Arial" w:cs="Arial"/>
          <w:sz w:val="20"/>
          <w:szCs w:val="20"/>
        </w:rPr>
        <w:t>gakkan stadium KNFnya.</w:t>
      </w:r>
      <w:proofErr w:type="gramEnd"/>
      <w:r w:rsidR="00732FC5" w:rsidRPr="00EA245B">
        <w:rPr>
          <w:rFonts w:ascii="Arial" w:hAnsi="Arial" w:cs="Arial"/>
          <w:sz w:val="20"/>
          <w:szCs w:val="20"/>
        </w:rPr>
        <w:t xml:space="preserve"> </w:t>
      </w:r>
      <w:proofErr w:type="gramStart"/>
      <w:r w:rsidRPr="00EA245B">
        <w:rPr>
          <w:rFonts w:ascii="Arial" w:hAnsi="Arial" w:cs="Arial"/>
          <w:sz w:val="20"/>
          <w:szCs w:val="20"/>
        </w:rPr>
        <w:t>Kriteria eksklusi subyek penelitian adalah pertama, penderita KNF dengan diagnosis pasti dari hasil pemeriksaan Patologi Anatomi yang berusia &lt;15 tahun; kedua, penderita yang didiagnosis bukan KNF; ketiga penderita KNF pasca terapi dan mengalami kekambuhan (</w:t>
      </w:r>
      <w:r w:rsidRPr="00EA245B">
        <w:rPr>
          <w:rFonts w:ascii="Arial" w:hAnsi="Arial" w:cs="Arial"/>
          <w:i/>
          <w:sz w:val="20"/>
          <w:szCs w:val="20"/>
        </w:rPr>
        <w:t>relaps</w:t>
      </w:r>
      <w:r w:rsidRPr="00EA245B">
        <w:rPr>
          <w:rFonts w:ascii="Arial" w:hAnsi="Arial" w:cs="Arial"/>
          <w:sz w:val="20"/>
          <w:szCs w:val="20"/>
        </w:rPr>
        <w:t>); keempat sampel penelitian yang tidak mempunyai</w:t>
      </w:r>
      <w:r w:rsidRPr="00EA245B">
        <w:rPr>
          <w:rFonts w:ascii="Arial" w:hAnsi="Arial" w:cs="Arial"/>
          <w:i/>
          <w:sz w:val="20"/>
          <w:szCs w:val="20"/>
        </w:rPr>
        <w:t xml:space="preserve"> informed consent.</w:t>
      </w:r>
      <w:proofErr w:type="gramEnd"/>
      <w:r w:rsidRPr="00EA245B">
        <w:rPr>
          <w:rFonts w:ascii="Arial" w:hAnsi="Arial" w:cs="Arial"/>
          <w:i/>
          <w:sz w:val="20"/>
          <w:szCs w:val="20"/>
        </w:rPr>
        <w:t xml:space="preserve"> </w:t>
      </w:r>
      <w:r w:rsidRPr="00EA245B">
        <w:rPr>
          <w:rFonts w:ascii="Arial" w:hAnsi="Arial" w:cs="Arial"/>
          <w:sz w:val="20"/>
          <w:szCs w:val="20"/>
          <w:lang w:val="id-ID"/>
        </w:rPr>
        <w:t>Sampel darah vena (tepi) sejumlah 1-3 m</w:t>
      </w:r>
      <w:r w:rsidRPr="00EA245B">
        <w:rPr>
          <w:rFonts w:ascii="Arial" w:hAnsi="Arial" w:cs="Arial"/>
          <w:sz w:val="20"/>
          <w:szCs w:val="20"/>
        </w:rPr>
        <w:t>l</w:t>
      </w:r>
      <w:r w:rsidRPr="00EA245B">
        <w:rPr>
          <w:rFonts w:ascii="Arial" w:hAnsi="Arial" w:cs="Arial"/>
          <w:sz w:val="20"/>
          <w:szCs w:val="20"/>
          <w:lang w:val="id-ID"/>
        </w:rPr>
        <w:t xml:space="preserve"> diambil dari subyek penelitian </w:t>
      </w:r>
      <w:r w:rsidRPr="00EA245B">
        <w:rPr>
          <w:rFonts w:ascii="Arial" w:hAnsi="Arial" w:cs="Arial"/>
          <w:sz w:val="20"/>
          <w:szCs w:val="20"/>
        </w:rPr>
        <w:t xml:space="preserve">dan </w:t>
      </w:r>
      <w:r w:rsidRPr="00EA245B">
        <w:rPr>
          <w:rFonts w:ascii="Arial" w:hAnsi="Arial" w:cs="Arial"/>
          <w:sz w:val="20"/>
          <w:szCs w:val="20"/>
          <w:lang w:val="id-ID"/>
        </w:rPr>
        <w:t xml:space="preserve">dimasukkan kedalam tabung </w:t>
      </w:r>
      <w:r w:rsidRPr="00EA245B">
        <w:rPr>
          <w:rFonts w:ascii="Arial" w:hAnsi="Arial" w:cs="Arial"/>
          <w:i/>
          <w:sz w:val="20"/>
          <w:szCs w:val="20"/>
          <w:lang w:eastAsia="id-ID"/>
        </w:rPr>
        <w:t>v</w:t>
      </w:r>
      <w:r w:rsidRPr="00EA245B">
        <w:rPr>
          <w:rFonts w:ascii="Arial" w:hAnsi="Arial" w:cs="Arial"/>
          <w:i/>
          <w:sz w:val="20"/>
          <w:szCs w:val="20"/>
          <w:lang w:val="id-ID" w:eastAsia="id-ID"/>
        </w:rPr>
        <w:t>accuteiner</w:t>
      </w:r>
      <w:r w:rsidRPr="00EA245B">
        <w:rPr>
          <w:rFonts w:ascii="Arial" w:hAnsi="Arial" w:cs="Arial"/>
          <w:sz w:val="20"/>
          <w:szCs w:val="20"/>
          <w:lang w:val="id-ID"/>
        </w:rPr>
        <w:t xml:space="preserve"> yang menandung zat antikoagulan (EDTA).</w:t>
      </w:r>
    </w:p>
    <w:p w:rsidR="00115F54" w:rsidRPr="00EA245B" w:rsidRDefault="00115F54" w:rsidP="00115F54">
      <w:pPr>
        <w:pStyle w:val="ListParagraph"/>
        <w:spacing w:after="0" w:line="240" w:lineRule="auto"/>
        <w:ind w:left="0" w:firstLine="720"/>
        <w:jc w:val="both"/>
        <w:rPr>
          <w:rFonts w:ascii="Arial" w:hAnsi="Arial" w:cs="Arial"/>
          <w:sz w:val="20"/>
          <w:szCs w:val="20"/>
        </w:rPr>
      </w:pPr>
    </w:p>
    <w:p w:rsidR="00115F54" w:rsidRPr="00EA245B" w:rsidRDefault="00115F54" w:rsidP="00732FC5">
      <w:pPr>
        <w:pStyle w:val="ListParagraph"/>
        <w:spacing w:after="0"/>
        <w:ind w:left="0"/>
        <w:jc w:val="both"/>
        <w:rPr>
          <w:rFonts w:ascii="Arial" w:hAnsi="Arial" w:cs="Arial"/>
          <w:b/>
          <w:i/>
          <w:sz w:val="20"/>
          <w:szCs w:val="20"/>
          <w:lang w:val="id-ID"/>
        </w:rPr>
      </w:pPr>
      <w:r w:rsidRPr="00EA245B">
        <w:rPr>
          <w:rFonts w:ascii="Arial" w:hAnsi="Arial" w:cs="Arial"/>
          <w:b/>
          <w:sz w:val="20"/>
          <w:szCs w:val="20"/>
        </w:rPr>
        <w:t>Isolasi DNA EBV</w:t>
      </w:r>
    </w:p>
    <w:p w:rsidR="00115F54" w:rsidRDefault="00732FC5" w:rsidP="00EA245B">
      <w:pPr>
        <w:autoSpaceDE w:val="0"/>
        <w:autoSpaceDN w:val="0"/>
        <w:adjustRightInd w:val="0"/>
        <w:spacing w:after="0" w:line="240" w:lineRule="auto"/>
        <w:ind w:firstLine="426"/>
        <w:jc w:val="both"/>
        <w:rPr>
          <w:rFonts w:ascii="Arial" w:hAnsi="Arial" w:cs="Arial"/>
          <w:sz w:val="20"/>
          <w:szCs w:val="20"/>
          <w:lang w:val="id-ID"/>
        </w:rPr>
      </w:pPr>
      <w:r w:rsidRPr="00EA245B">
        <w:rPr>
          <w:rFonts w:ascii="Arial" w:hAnsi="Arial" w:cs="Arial"/>
          <w:sz w:val="20"/>
          <w:szCs w:val="20"/>
          <w:lang w:val="id-ID"/>
        </w:rPr>
        <w:t xml:space="preserve">Isolasi DNA virus </w:t>
      </w:r>
      <w:r w:rsidR="00115F54" w:rsidRPr="00EA245B">
        <w:rPr>
          <w:rFonts w:ascii="Arial" w:hAnsi="Arial" w:cs="Arial"/>
          <w:sz w:val="20"/>
          <w:szCs w:val="20"/>
          <w:lang w:val="id-ID"/>
        </w:rPr>
        <w:t xml:space="preserve">dilakukan sesuai dengan protokol kit Purelink® </w:t>
      </w:r>
      <w:r w:rsidR="00115F54" w:rsidRPr="00EA245B">
        <w:rPr>
          <w:rFonts w:ascii="Arial" w:hAnsi="Arial" w:cs="Arial"/>
          <w:sz w:val="20"/>
          <w:szCs w:val="20"/>
        </w:rPr>
        <w:t>Viral</w:t>
      </w:r>
      <w:r w:rsidR="00115F54" w:rsidRPr="00EA245B">
        <w:rPr>
          <w:rFonts w:ascii="Arial" w:hAnsi="Arial" w:cs="Arial"/>
          <w:sz w:val="20"/>
          <w:szCs w:val="20"/>
          <w:lang w:val="id-ID"/>
        </w:rPr>
        <w:t xml:space="preserve"> DNA Minikit (Invitrogen)</w:t>
      </w:r>
      <w:r w:rsidR="00115F54" w:rsidRPr="00EA245B">
        <w:rPr>
          <w:rFonts w:ascii="Arial" w:hAnsi="Arial" w:cs="Arial"/>
          <w:sz w:val="20"/>
          <w:szCs w:val="20"/>
        </w:rPr>
        <w:t xml:space="preserve"> </w:t>
      </w:r>
      <w:r w:rsidR="00115F54" w:rsidRPr="00EA245B">
        <w:rPr>
          <w:rFonts w:ascii="Arial" w:hAnsi="Arial" w:cs="Arial"/>
          <w:sz w:val="20"/>
          <w:szCs w:val="20"/>
          <w:lang w:val="id-ID"/>
        </w:rPr>
        <w:t>hingga diperoleh 100 µl DNA</w:t>
      </w:r>
      <w:r w:rsidR="00115F54" w:rsidRPr="00EA245B">
        <w:rPr>
          <w:rFonts w:ascii="Arial" w:hAnsi="Arial" w:cs="Arial"/>
          <w:sz w:val="20"/>
          <w:szCs w:val="20"/>
        </w:rPr>
        <w:t>.</w:t>
      </w:r>
    </w:p>
    <w:p w:rsidR="00EA245B" w:rsidRPr="00EA245B" w:rsidRDefault="00EA245B" w:rsidP="00EA245B">
      <w:pPr>
        <w:autoSpaceDE w:val="0"/>
        <w:autoSpaceDN w:val="0"/>
        <w:adjustRightInd w:val="0"/>
        <w:spacing w:after="0" w:line="240" w:lineRule="auto"/>
        <w:ind w:firstLine="426"/>
        <w:jc w:val="both"/>
        <w:rPr>
          <w:rFonts w:ascii="Arial" w:hAnsi="Arial" w:cs="Arial"/>
          <w:sz w:val="20"/>
          <w:szCs w:val="20"/>
          <w:lang w:val="id-ID"/>
        </w:rPr>
      </w:pPr>
    </w:p>
    <w:p w:rsidR="00115F54" w:rsidRPr="00EA245B" w:rsidRDefault="00115F54" w:rsidP="00732FC5">
      <w:pPr>
        <w:spacing w:after="0"/>
        <w:jc w:val="both"/>
        <w:rPr>
          <w:rFonts w:ascii="Arial" w:hAnsi="Arial" w:cs="Arial"/>
          <w:b/>
          <w:i/>
          <w:sz w:val="20"/>
          <w:szCs w:val="20"/>
        </w:rPr>
      </w:pPr>
      <w:r w:rsidRPr="00EA245B">
        <w:rPr>
          <w:rFonts w:ascii="Arial" w:hAnsi="Arial" w:cs="Arial"/>
          <w:b/>
          <w:sz w:val="20"/>
          <w:szCs w:val="20"/>
        </w:rPr>
        <w:t>Amplifikasi gen BRLF1</w:t>
      </w:r>
      <w:r w:rsidR="00C66A8E" w:rsidRPr="00EA245B">
        <w:rPr>
          <w:rFonts w:ascii="Arial" w:hAnsi="Arial" w:cs="Arial"/>
          <w:b/>
          <w:sz w:val="20"/>
          <w:szCs w:val="20"/>
        </w:rPr>
        <w:t xml:space="preserve"> </w:t>
      </w:r>
      <w:r w:rsidRPr="00EA245B">
        <w:rPr>
          <w:rFonts w:ascii="Arial" w:hAnsi="Arial" w:cs="Arial"/>
          <w:b/>
          <w:sz w:val="20"/>
          <w:szCs w:val="20"/>
          <w:lang w:val="id-ID"/>
        </w:rPr>
        <w:t xml:space="preserve">menggunakan </w:t>
      </w:r>
      <w:r w:rsidRPr="00EA245B">
        <w:rPr>
          <w:rFonts w:ascii="Arial" w:hAnsi="Arial" w:cs="Arial"/>
          <w:b/>
          <w:sz w:val="20"/>
          <w:szCs w:val="20"/>
        </w:rPr>
        <w:t xml:space="preserve">teknik </w:t>
      </w:r>
      <w:r w:rsidRPr="00EA245B">
        <w:rPr>
          <w:rFonts w:ascii="Arial" w:hAnsi="Arial" w:cs="Arial"/>
          <w:b/>
          <w:sz w:val="20"/>
          <w:szCs w:val="20"/>
          <w:lang w:val="id-ID"/>
        </w:rPr>
        <w:t>PCR</w:t>
      </w:r>
    </w:p>
    <w:p w:rsidR="00732FC5" w:rsidRPr="00EA245B" w:rsidRDefault="00115F54" w:rsidP="00EA245B">
      <w:pPr>
        <w:autoSpaceDE w:val="0"/>
        <w:autoSpaceDN w:val="0"/>
        <w:adjustRightInd w:val="0"/>
        <w:spacing w:after="0" w:line="240" w:lineRule="auto"/>
        <w:ind w:firstLine="426"/>
        <w:jc w:val="both"/>
        <w:rPr>
          <w:rFonts w:ascii="Arial" w:hAnsi="Arial" w:cs="Arial"/>
          <w:sz w:val="20"/>
          <w:szCs w:val="20"/>
        </w:rPr>
      </w:pPr>
      <w:r w:rsidRPr="00EA245B">
        <w:rPr>
          <w:rFonts w:ascii="Arial" w:hAnsi="Arial" w:cs="Arial"/>
          <w:sz w:val="20"/>
          <w:szCs w:val="20"/>
          <w:lang w:val="id-ID"/>
        </w:rPr>
        <w:t xml:space="preserve">Teknik PCR dua tahap digunakan untuk mendeteksi gen BRLF1 pada sampel penderita KNF. Primer yang digunakan pada PCR tahap I dan II </w:t>
      </w:r>
      <w:r w:rsidRPr="00EA245B">
        <w:rPr>
          <w:rFonts w:ascii="Arial" w:hAnsi="Arial" w:cs="Arial"/>
          <w:sz w:val="20"/>
          <w:szCs w:val="20"/>
        </w:rPr>
        <w:t xml:space="preserve">mengamplifikasi sekuens DNA spesifik dari gen BRLF1 </w:t>
      </w:r>
      <w:r w:rsidRPr="00EA245B">
        <w:rPr>
          <w:rFonts w:ascii="Arial" w:hAnsi="Arial" w:cs="Arial"/>
          <w:sz w:val="20"/>
          <w:szCs w:val="20"/>
          <w:lang w:val="id-ID"/>
        </w:rPr>
        <w:t>menghasilkan amplikon DNA berukuran 157 pb, primer sisi kiri (</w:t>
      </w:r>
      <w:r w:rsidRPr="00EA245B">
        <w:rPr>
          <w:rFonts w:ascii="Arial" w:hAnsi="Arial" w:cs="Arial"/>
          <w:i/>
          <w:sz w:val="20"/>
          <w:szCs w:val="20"/>
          <w:lang w:val="id-ID"/>
        </w:rPr>
        <w:t>forward/left</w:t>
      </w:r>
      <w:r w:rsidRPr="00EA245B">
        <w:rPr>
          <w:rFonts w:ascii="Arial" w:hAnsi="Arial" w:cs="Arial"/>
          <w:i/>
          <w:sz w:val="20"/>
          <w:szCs w:val="20"/>
        </w:rPr>
        <w:t xml:space="preserve"> </w:t>
      </w:r>
      <w:r w:rsidRPr="00EA245B">
        <w:rPr>
          <w:rFonts w:ascii="Arial" w:hAnsi="Arial" w:cs="Arial"/>
          <w:i/>
          <w:sz w:val="20"/>
          <w:szCs w:val="20"/>
          <w:lang w:val="id-ID"/>
        </w:rPr>
        <w:t>primer</w:t>
      </w:r>
      <w:r w:rsidRPr="00EA245B">
        <w:rPr>
          <w:rFonts w:ascii="Arial" w:hAnsi="Arial" w:cs="Arial"/>
          <w:sz w:val="20"/>
          <w:szCs w:val="20"/>
          <w:lang w:val="id-ID"/>
        </w:rPr>
        <w:t>) adalah</w:t>
      </w:r>
      <w:r w:rsidRPr="00EA245B">
        <w:rPr>
          <w:rFonts w:ascii="Arial" w:hAnsi="Arial" w:cs="Arial"/>
          <w:sz w:val="20"/>
          <w:szCs w:val="20"/>
        </w:rPr>
        <w:t xml:space="preserve"> </w:t>
      </w:r>
      <w:r w:rsidRPr="00EA245B">
        <w:rPr>
          <w:rFonts w:ascii="Arial" w:hAnsi="Arial" w:cs="Arial"/>
          <w:sz w:val="20"/>
          <w:szCs w:val="20"/>
          <w:lang w:val="id-ID"/>
        </w:rPr>
        <w:t>5’-AGCAGAGCGAGCGGGAAGAG-3’</w:t>
      </w:r>
      <w:r w:rsidRPr="00EA245B">
        <w:rPr>
          <w:rFonts w:ascii="Arial" w:hAnsi="Arial" w:cs="Arial"/>
          <w:sz w:val="20"/>
          <w:szCs w:val="20"/>
        </w:rPr>
        <w:t xml:space="preserve"> </w:t>
      </w:r>
      <w:r w:rsidRPr="00EA245B">
        <w:rPr>
          <w:rFonts w:ascii="Arial" w:hAnsi="Arial" w:cs="Arial"/>
          <w:sz w:val="20"/>
          <w:szCs w:val="20"/>
          <w:lang w:val="id-ID"/>
        </w:rPr>
        <w:t>dan primer sisi kanan (</w:t>
      </w:r>
      <w:r w:rsidRPr="00EA245B">
        <w:rPr>
          <w:rFonts w:ascii="Arial" w:hAnsi="Arial" w:cs="Arial"/>
          <w:i/>
          <w:sz w:val="20"/>
          <w:szCs w:val="20"/>
          <w:lang w:val="id-ID"/>
        </w:rPr>
        <w:t>reverse/right</w:t>
      </w:r>
      <w:r w:rsidRPr="00EA245B">
        <w:rPr>
          <w:rFonts w:ascii="Arial" w:hAnsi="Arial" w:cs="Arial"/>
          <w:i/>
          <w:sz w:val="20"/>
          <w:szCs w:val="20"/>
        </w:rPr>
        <w:t xml:space="preserve"> </w:t>
      </w:r>
      <w:r w:rsidRPr="00EA245B">
        <w:rPr>
          <w:rFonts w:ascii="Arial" w:hAnsi="Arial" w:cs="Arial"/>
          <w:i/>
          <w:sz w:val="20"/>
          <w:szCs w:val="20"/>
          <w:lang w:val="id-ID"/>
        </w:rPr>
        <w:t>primer</w:t>
      </w:r>
      <w:r w:rsidRPr="00EA245B">
        <w:rPr>
          <w:rFonts w:ascii="Arial" w:hAnsi="Arial" w:cs="Arial"/>
          <w:sz w:val="20"/>
          <w:szCs w:val="20"/>
          <w:lang w:val="id-ID"/>
        </w:rPr>
        <w:t>) adalah 5’-TCGCTCTCTTGGTGGACCGC-3’</w:t>
      </w:r>
      <w:r w:rsidRPr="00EA245B">
        <w:rPr>
          <w:rFonts w:ascii="Arial" w:hAnsi="Arial" w:cs="Arial"/>
          <w:sz w:val="20"/>
          <w:szCs w:val="20"/>
        </w:rPr>
        <w:t xml:space="preserve">. Desain primer dilakukan dengan software Primer3 dari the GenBank Sequence </w:t>
      </w:r>
      <w:r w:rsidR="00A57ADA" w:rsidRPr="00EA245B">
        <w:rPr>
          <w:rFonts w:ascii="Arial" w:hAnsi="Arial" w:cs="Arial"/>
          <w:sz w:val="20"/>
          <w:szCs w:val="20"/>
        </w:rPr>
        <w:t xml:space="preserve">Database-NCBI (accession </w:t>
      </w:r>
      <w:proofErr w:type="gramStart"/>
      <w:r w:rsidR="00A57ADA" w:rsidRPr="00EA245B">
        <w:rPr>
          <w:rFonts w:ascii="Arial" w:hAnsi="Arial" w:cs="Arial"/>
          <w:sz w:val="20"/>
          <w:szCs w:val="20"/>
        </w:rPr>
        <w:t xml:space="preserve">number  </w:t>
      </w:r>
      <w:r w:rsidRPr="00EA245B">
        <w:rPr>
          <w:rFonts w:ascii="Arial" w:hAnsi="Arial" w:cs="Arial"/>
          <w:sz w:val="20"/>
          <w:szCs w:val="20"/>
        </w:rPr>
        <w:t>NC</w:t>
      </w:r>
      <w:proofErr w:type="gramEnd"/>
      <w:r w:rsidRPr="00EA245B">
        <w:rPr>
          <w:rFonts w:ascii="Arial" w:hAnsi="Arial" w:cs="Arial"/>
          <w:sz w:val="20"/>
          <w:szCs w:val="20"/>
        </w:rPr>
        <w:t>_007605.1; GeneID: 5176221)</w:t>
      </w:r>
      <w:r w:rsidR="00732FC5" w:rsidRPr="00EA245B">
        <w:rPr>
          <w:rFonts w:ascii="Arial" w:hAnsi="Arial" w:cs="Arial"/>
          <w:sz w:val="20"/>
          <w:szCs w:val="20"/>
        </w:rPr>
        <w:t>.</w:t>
      </w:r>
    </w:p>
    <w:p w:rsidR="00115F54" w:rsidRPr="00EA245B" w:rsidRDefault="00115F54" w:rsidP="00EA245B">
      <w:pPr>
        <w:autoSpaceDE w:val="0"/>
        <w:autoSpaceDN w:val="0"/>
        <w:adjustRightInd w:val="0"/>
        <w:spacing w:after="0" w:line="240" w:lineRule="auto"/>
        <w:ind w:firstLine="426"/>
        <w:jc w:val="both"/>
        <w:rPr>
          <w:rFonts w:ascii="Arial" w:hAnsi="Arial" w:cs="Arial"/>
          <w:sz w:val="20"/>
          <w:szCs w:val="20"/>
          <w:lang w:val="id-ID"/>
        </w:rPr>
      </w:pPr>
      <w:r w:rsidRPr="00EA245B">
        <w:rPr>
          <w:rFonts w:ascii="Arial" w:hAnsi="Arial" w:cs="Arial"/>
          <w:sz w:val="20"/>
          <w:szCs w:val="20"/>
          <w:lang w:val="id-ID"/>
        </w:rPr>
        <w:t>Amplifikasi tahap I</w:t>
      </w:r>
      <w:r w:rsidRPr="00EA245B">
        <w:rPr>
          <w:rFonts w:ascii="Arial" w:hAnsi="Arial" w:cs="Arial"/>
          <w:sz w:val="20"/>
          <w:szCs w:val="20"/>
        </w:rPr>
        <w:t xml:space="preserve"> dan </w:t>
      </w:r>
      <w:r w:rsidRPr="00EA245B">
        <w:rPr>
          <w:rFonts w:ascii="Arial" w:hAnsi="Arial" w:cs="Arial"/>
          <w:sz w:val="20"/>
          <w:szCs w:val="20"/>
          <w:lang w:val="id-ID"/>
        </w:rPr>
        <w:t xml:space="preserve">tahap </w:t>
      </w:r>
      <w:r w:rsidRPr="00EA245B">
        <w:rPr>
          <w:rFonts w:ascii="Arial" w:hAnsi="Arial" w:cs="Arial"/>
          <w:sz w:val="20"/>
          <w:szCs w:val="20"/>
        </w:rPr>
        <w:t xml:space="preserve">II dilakukan sebanyak 35 siklus dengan kondisi PCR sebagai berikut: </w:t>
      </w:r>
      <w:r w:rsidRPr="00EA245B">
        <w:rPr>
          <w:rFonts w:ascii="Arial" w:hAnsi="Arial" w:cs="Arial"/>
          <w:sz w:val="20"/>
          <w:szCs w:val="20"/>
          <w:lang w:val="id-ID"/>
        </w:rPr>
        <w:t>denaturasi awal 9</w:t>
      </w:r>
      <w:r w:rsidRPr="00EA245B">
        <w:rPr>
          <w:rFonts w:ascii="Arial" w:hAnsi="Arial" w:cs="Arial"/>
          <w:sz w:val="20"/>
          <w:szCs w:val="20"/>
        </w:rPr>
        <w:t>5</w:t>
      </w:r>
      <w:r w:rsidRPr="00EA245B">
        <w:rPr>
          <w:rFonts w:ascii="Arial" w:hAnsi="Arial" w:cs="Arial"/>
          <w:sz w:val="20"/>
          <w:szCs w:val="20"/>
          <w:lang w:val="id-ID"/>
        </w:rPr>
        <w:t>°C selama 5 menit, denaturasi 9</w:t>
      </w:r>
      <w:r w:rsidRPr="00EA245B">
        <w:rPr>
          <w:rFonts w:ascii="Arial" w:hAnsi="Arial" w:cs="Arial"/>
          <w:sz w:val="20"/>
          <w:szCs w:val="20"/>
        </w:rPr>
        <w:t>5</w:t>
      </w:r>
      <w:r w:rsidRPr="00EA245B">
        <w:rPr>
          <w:rFonts w:ascii="Arial" w:hAnsi="Arial" w:cs="Arial"/>
          <w:sz w:val="20"/>
          <w:szCs w:val="20"/>
          <w:lang w:val="id-ID"/>
        </w:rPr>
        <w:t>°C selama 30 detik, penempelan 6</w:t>
      </w:r>
      <w:r w:rsidRPr="00EA245B">
        <w:rPr>
          <w:rFonts w:ascii="Arial" w:hAnsi="Arial" w:cs="Arial"/>
          <w:sz w:val="20"/>
          <w:szCs w:val="20"/>
        </w:rPr>
        <w:t>3</w:t>
      </w:r>
      <w:r w:rsidRPr="00EA245B">
        <w:rPr>
          <w:rFonts w:ascii="Arial" w:hAnsi="Arial" w:cs="Arial"/>
          <w:sz w:val="20"/>
          <w:szCs w:val="20"/>
          <w:lang w:val="id-ID"/>
        </w:rPr>
        <w:t xml:space="preserve">°C selama 30 detik, pemanjangan 72°C selama 30 </w:t>
      </w:r>
      <w:r w:rsidRPr="00EA245B">
        <w:rPr>
          <w:rFonts w:ascii="Arial" w:hAnsi="Arial" w:cs="Arial"/>
          <w:sz w:val="20"/>
          <w:szCs w:val="20"/>
          <w:lang w:val="id-ID"/>
        </w:rPr>
        <w:lastRenderedPageBreak/>
        <w:t xml:space="preserve">detik, </w:t>
      </w:r>
      <w:r w:rsidRPr="00EA245B">
        <w:rPr>
          <w:rFonts w:ascii="Arial" w:hAnsi="Arial" w:cs="Arial"/>
          <w:sz w:val="20"/>
          <w:szCs w:val="20"/>
        </w:rPr>
        <w:t xml:space="preserve">dan </w:t>
      </w:r>
      <w:r w:rsidRPr="00EA245B">
        <w:rPr>
          <w:rFonts w:ascii="Arial" w:hAnsi="Arial" w:cs="Arial"/>
          <w:sz w:val="20"/>
          <w:szCs w:val="20"/>
          <w:lang w:val="id-ID"/>
        </w:rPr>
        <w:t>pemanjangan akhir 72°C selama 7 menit.</w:t>
      </w:r>
      <w:r w:rsidRPr="00EA245B">
        <w:rPr>
          <w:rFonts w:ascii="Arial" w:hAnsi="Arial" w:cs="Arial"/>
          <w:sz w:val="20"/>
          <w:szCs w:val="20"/>
        </w:rPr>
        <w:t xml:space="preserve"> </w:t>
      </w:r>
    </w:p>
    <w:p w:rsidR="00115F54" w:rsidRPr="00EA245B" w:rsidRDefault="00115F54" w:rsidP="00115F54">
      <w:pPr>
        <w:spacing w:after="0" w:line="240" w:lineRule="auto"/>
        <w:ind w:firstLine="615"/>
        <w:jc w:val="both"/>
        <w:rPr>
          <w:rFonts w:ascii="Arial" w:hAnsi="Arial" w:cs="Arial"/>
          <w:sz w:val="20"/>
          <w:szCs w:val="20"/>
        </w:rPr>
      </w:pPr>
    </w:p>
    <w:p w:rsidR="00115F54" w:rsidRPr="00EA245B" w:rsidRDefault="00115F54" w:rsidP="00EA245B">
      <w:pPr>
        <w:pStyle w:val="ListParagraph"/>
        <w:spacing w:after="0" w:line="240" w:lineRule="auto"/>
        <w:ind w:left="0"/>
        <w:jc w:val="both"/>
        <w:rPr>
          <w:rFonts w:ascii="Arial" w:hAnsi="Arial" w:cs="Arial"/>
          <w:sz w:val="20"/>
          <w:szCs w:val="20"/>
        </w:rPr>
      </w:pPr>
      <w:r w:rsidRPr="00EA245B">
        <w:rPr>
          <w:rFonts w:ascii="Arial" w:hAnsi="Arial" w:cs="Arial"/>
          <w:b/>
          <w:sz w:val="20"/>
          <w:szCs w:val="20"/>
          <w:lang w:val="id-ID"/>
        </w:rPr>
        <w:t xml:space="preserve">Visualisasi hasil deteksi gen </w:t>
      </w:r>
      <w:r w:rsidRPr="00EA245B">
        <w:rPr>
          <w:rFonts w:ascii="Arial" w:hAnsi="Arial" w:cs="Arial"/>
          <w:b/>
          <w:sz w:val="20"/>
          <w:szCs w:val="20"/>
        </w:rPr>
        <w:t>BRFL1</w:t>
      </w:r>
      <w:r w:rsidR="00A57ADA" w:rsidRPr="00EA245B">
        <w:rPr>
          <w:rFonts w:ascii="Arial" w:hAnsi="Arial" w:cs="Arial"/>
          <w:b/>
          <w:sz w:val="20"/>
          <w:szCs w:val="20"/>
        </w:rPr>
        <w:t xml:space="preserve"> </w:t>
      </w:r>
      <w:r w:rsidRPr="00EA245B">
        <w:rPr>
          <w:rFonts w:ascii="Arial" w:hAnsi="Arial" w:cs="Arial"/>
          <w:b/>
          <w:sz w:val="20"/>
          <w:szCs w:val="20"/>
          <w:lang w:val="id-ID"/>
        </w:rPr>
        <w:t>menggunakan elektroforesis gel</w:t>
      </w:r>
      <w:r w:rsidRPr="00EA245B">
        <w:rPr>
          <w:rFonts w:ascii="Arial" w:hAnsi="Arial" w:cs="Arial"/>
          <w:b/>
          <w:sz w:val="20"/>
          <w:szCs w:val="20"/>
        </w:rPr>
        <w:t xml:space="preserve"> agarosa</w:t>
      </w:r>
    </w:p>
    <w:p w:rsidR="00115F54" w:rsidRPr="00EA245B" w:rsidRDefault="00115F54" w:rsidP="00EA245B">
      <w:pPr>
        <w:autoSpaceDE w:val="0"/>
        <w:autoSpaceDN w:val="0"/>
        <w:adjustRightInd w:val="0"/>
        <w:spacing w:after="0" w:line="240" w:lineRule="auto"/>
        <w:ind w:firstLine="426"/>
        <w:jc w:val="both"/>
        <w:rPr>
          <w:rFonts w:ascii="Arial" w:hAnsi="Arial" w:cs="Arial"/>
          <w:sz w:val="20"/>
          <w:szCs w:val="20"/>
        </w:rPr>
      </w:pPr>
      <w:r w:rsidRPr="00EA245B">
        <w:rPr>
          <w:rFonts w:ascii="Arial" w:hAnsi="Arial" w:cs="Arial"/>
          <w:sz w:val="20"/>
          <w:szCs w:val="20"/>
        </w:rPr>
        <w:t xml:space="preserve">Hasil amplifikasi </w:t>
      </w:r>
      <w:r w:rsidR="006F4EA9" w:rsidRPr="00EA245B">
        <w:rPr>
          <w:rFonts w:ascii="Arial" w:hAnsi="Arial" w:cs="Arial"/>
          <w:sz w:val="20"/>
          <w:szCs w:val="20"/>
        </w:rPr>
        <w:t>DNA</w:t>
      </w:r>
      <w:r w:rsidRPr="00EA245B">
        <w:rPr>
          <w:rFonts w:ascii="Arial" w:hAnsi="Arial" w:cs="Arial"/>
          <w:sz w:val="20"/>
          <w:szCs w:val="20"/>
        </w:rPr>
        <w:t xml:space="preserve"> dipisahkan menggunakan metode elektroforesis gel agarosa 2% selama 60 menit dengan voltase 90 V dan kuat arus 500 mA. </w:t>
      </w:r>
      <w:proofErr w:type="gramStart"/>
      <w:r w:rsidRPr="00EA245B">
        <w:rPr>
          <w:rFonts w:ascii="Arial" w:hAnsi="Arial" w:cs="Arial"/>
          <w:sz w:val="20"/>
          <w:szCs w:val="20"/>
        </w:rPr>
        <w:t>Hasil elektroforesis divisualisasi dengan menggunakan Gel-Doc 1000 yang dapat dilihat pada layar komputer</w:t>
      </w:r>
      <w:r w:rsidRPr="00EA245B">
        <w:rPr>
          <w:rFonts w:ascii="Arial" w:hAnsi="Arial" w:cs="Arial"/>
          <w:sz w:val="20"/>
          <w:szCs w:val="20"/>
          <w:lang w:val="id-ID"/>
        </w:rPr>
        <w:t>.</w:t>
      </w:r>
      <w:proofErr w:type="gramEnd"/>
    </w:p>
    <w:p w:rsidR="006F4EA9" w:rsidRPr="00EA245B" w:rsidRDefault="006F4EA9" w:rsidP="00115F54">
      <w:pPr>
        <w:spacing w:after="0" w:line="240" w:lineRule="auto"/>
        <w:ind w:firstLine="567"/>
        <w:jc w:val="both"/>
        <w:rPr>
          <w:rFonts w:ascii="Arial" w:hAnsi="Arial" w:cs="Arial"/>
          <w:sz w:val="20"/>
          <w:szCs w:val="20"/>
        </w:rPr>
      </w:pPr>
    </w:p>
    <w:p w:rsidR="00115F54" w:rsidRPr="00EA245B" w:rsidRDefault="00115F54" w:rsidP="00EA245B">
      <w:pPr>
        <w:pStyle w:val="ListParagraph"/>
        <w:spacing w:after="0" w:line="240" w:lineRule="auto"/>
        <w:ind w:left="0"/>
        <w:jc w:val="both"/>
        <w:rPr>
          <w:rFonts w:ascii="Arial" w:hAnsi="Arial" w:cs="Arial"/>
          <w:b/>
          <w:sz w:val="20"/>
          <w:szCs w:val="20"/>
        </w:rPr>
      </w:pPr>
      <w:r w:rsidRPr="00EA245B">
        <w:rPr>
          <w:rFonts w:ascii="Arial" w:hAnsi="Arial" w:cs="Arial"/>
          <w:b/>
          <w:sz w:val="20"/>
          <w:szCs w:val="20"/>
          <w:lang w:val="id-ID"/>
        </w:rPr>
        <w:t>Interpretasi</w:t>
      </w:r>
      <w:r w:rsidRPr="00EA245B">
        <w:rPr>
          <w:rFonts w:ascii="Arial" w:hAnsi="Arial" w:cs="Arial"/>
          <w:b/>
          <w:sz w:val="20"/>
          <w:szCs w:val="20"/>
        </w:rPr>
        <w:t xml:space="preserve"> data</w:t>
      </w:r>
    </w:p>
    <w:p w:rsidR="00115F54" w:rsidRPr="00EA245B" w:rsidRDefault="00115F54" w:rsidP="00EA245B">
      <w:pPr>
        <w:autoSpaceDE w:val="0"/>
        <w:autoSpaceDN w:val="0"/>
        <w:adjustRightInd w:val="0"/>
        <w:spacing w:after="0" w:line="240" w:lineRule="auto"/>
        <w:ind w:firstLine="426"/>
        <w:jc w:val="both"/>
        <w:rPr>
          <w:rFonts w:ascii="Arial" w:hAnsi="Arial" w:cs="Arial"/>
          <w:sz w:val="20"/>
          <w:szCs w:val="20"/>
        </w:rPr>
      </w:pPr>
      <w:r w:rsidRPr="00EA245B">
        <w:rPr>
          <w:rFonts w:ascii="Arial" w:hAnsi="Arial" w:cs="Arial"/>
          <w:sz w:val="20"/>
          <w:szCs w:val="20"/>
          <w:lang w:val="id-ID"/>
        </w:rPr>
        <w:t xml:space="preserve">Hasil </w:t>
      </w:r>
      <w:r w:rsidRPr="00EA245B">
        <w:rPr>
          <w:rFonts w:ascii="Arial" w:hAnsi="Arial" w:cs="Arial"/>
          <w:sz w:val="20"/>
          <w:szCs w:val="20"/>
        </w:rPr>
        <w:t xml:space="preserve">identifikasi gen BRLF1 dan senstivitas metoda PCR konvensional </w:t>
      </w:r>
      <w:r w:rsidRPr="00EA245B">
        <w:rPr>
          <w:rFonts w:ascii="Arial" w:hAnsi="Arial" w:cs="Arial"/>
          <w:sz w:val="20"/>
          <w:szCs w:val="20"/>
          <w:lang w:val="id-ID"/>
        </w:rPr>
        <w:t>yang didapatkan dianalisis denga</w:t>
      </w:r>
      <w:r w:rsidR="006F4EA9" w:rsidRPr="00EA245B">
        <w:rPr>
          <w:rFonts w:ascii="Arial" w:hAnsi="Arial" w:cs="Arial"/>
          <w:sz w:val="20"/>
          <w:szCs w:val="20"/>
          <w:lang w:val="id-ID"/>
        </w:rPr>
        <w:t>n metode deskriptif dengan cara</w:t>
      </w:r>
      <w:r w:rsidR="006F4EA9" w:rsidRPr="00EA245B">
        <w:rPr>
          <w:rFonts w:ascii="Arial" w:hAnsi="Arial" w:cs="Arial"/>
          <w:sz w:val="20"/>
          <w:szCs w:val="20"/>
        </w:rPr>
        <w:t xml:space="preserve"> </w:t>
      </w:r>
      <w:r w:rsidRPr="00EA245B">
        <w:rPr>
          <w:rFonts w:ascii="Arial" w:hAnsi="Arial" w:cs="Arial"/>
          <w:sz w:val="20"/>
          <w:szCs w:val="20"/>
          <w:lang w:val="id-ID"/>
        </w:rPr>
        <w:t>membandingkan hasil</w:t>
      </w:r>
      <w:r w:rsidRPr="00EA245B">
        <w:rPr>
          <w:rFonts w:ascii="Arial" w:hAnsi="Arial" w:cs="Arial"/>
          <w:sz w:val="20"/>
          <w:szCs w:val="20"/>
        </w:rPr>
        <w:t xml:space="preserve"> </w:t>
      </w:r>
      <w:r w:rsidRPr="00EA245B">
        <w:rPr>
          <w:rFonts w:ascii="Arial" w:hAnsi="Arial" w:cs="Arial"/>
          <w:sz w:val="20"/>
          <w:szCs w:val="20"/>
          <w:lang w:val="id-ID"/>
        </w:rPr>
        <w:t>deteksi yang didapatkan dengan hasil dari penelitian-penelitian sebelumnya yang berkaitan.</w:t>
      </w:r>
    </w:p>
    <w:p w:rsidR="005A3917" w:rsidRPr="00EA245B" w:rsidRDefault="005A3917" w:rsidP="00115F54">
      <w:pPr>
        <w:tabs>
          <w:tab w:val="left" w:pos="426"/>
        </w:tabs>
        <w:spacing w:after="0" w:line="240" w:lineRule="auto"/>
        <w:rPr>
          <w:rFonts w:ascii="Arial" w:hAnsi="Arial" w:cs="Arial"/>
          <w:b/>
          <w:sz w:val="20"/>
          <w:szCs w:val="20"/>
        </w:rPr>
      </w:pPr>
    </w:p>
    <w:p w:rsidR="00115F54" w:rsidRPr="00EA245B" w:rsidRDefault="00115F54" w:rsidP="00EA245B">
      <w:pPr>
        <w:tabs>
          <w:tab w:val="left" w:pos="426"/>
        </w:tabs>
        <w:spacing w:after="0" w:line="240" w:lineRule="auto"/>
        <w:jc w:val="center"/>
        <w:rPr>
          <w:rFonts w:ascii="Arial" w:hAnsi="Arial" w:cs="Arial"/>
          <w:b/>
          <w:sz w:val="20"/>
          <w:szCs w:val="20"/>
        </w:rPr>
      </w:pPr>
      <w:r w:rsidRPr="00EA245B">
        <w:rPr>
          <w:rFonts w:ascii="Arial" w:hAnsi="Arial" w:cs="Arial"/>
          <w:b/>
          <w:sz w:val="20"/>
          <w:szCs w:val="20"/>
        </w:rPr>
        <w:t>HASIL DAN PEMBAHASAN</w:t>
      </w:r>
    </w:p>
    <w:p w:rsidR="006F4EA9" w:rsidRPr="00EA245B" w:rsidRDefault="006F4EA9" w:rsidP="00EA245B">
      <w:pPr>
        <w:tabs>
          <w:tab w:val="left" w:pos="426"/>
        </w:tabs>
        <w:spacing w:after="0" w:line="240" w:lineRule="auto"/>
        <w:jc w:val="center"/>
        <w:rPr>
          <w:rFonts w:ascii="Arial" w:hAnsi="Arial" w:cs="Arial"/>
          <w:b/>
          <w:sz w:val="20"/>
          <w:szCs w:val="20"/>
        </w:rPr>
      </w:pPr>
    </w:p>
    <w:p w:rsidR="00115F54" w:rsidRPr="00EA245B" w:rsidRDefault="00115F54" w:rsidP="00EA245B">
      <w:pPr>
        <w:tabs>
          <w:tab w:val="left" w:pos="426"/>
        </w:tabs>
        <w:spacing w:after="0" w:line="240" w:lineRule="auto"/>
        <w:jc w:val="both"/>
        <w:rPr>
          <w:rFonts w:ascii="Arial" w:hAnsi="Arial" w:cs="Arial"/>
          <w:b/>
          <w:sz w:val="20"/>
          <w:szCs w:val="20"/>
        </w:rPr>
      </w:pPr>
      <w:r w:rsidRPr="00EA245B">
        <w:rPr>
          <w:rFonts w:ascii="Arial" w:hAnsi="Arial" w:cs="Arial"/>
          <w:b/>
          <w:sz w:val="20"/>
          <w:szCs w:val="20"/>
        </w:rPr>
        <w:t>Karakteristik Sampel Penelitian</w:t>
      </w:r>
    </w:p>
    <w:p w:rsidR="005A3917" w:rsidRPr="00EA245B" w:rsidRDefault="00115F54" w:rsidP="00EA245B">
      <w:pPr>
        <w:autoSpaceDE w:val="0"/>
        <w:autoSpaceDN w:val="0"/>
        <w:adjustRightInd w:val="0"/>
        <w:spacing w:after="0" w:line="240" w:lineRule="auto"/>
        <w:ind w:firstLine="426"/>
        <w:jc w:val="both"/>
        <w:rPr>
          <w:rFonts w:ascii="Arial" w:hAnsi="Arial" w:cs="Arial"/>
          <w:sz w:val="20"/>
          <w:szCs w:val="20"/>
        </w:rPr>
      </w:pPr>
      <w:r w:rsidRPr="00EA245B">
        <w:rPr>
          <w:rFonts w:ascii="Arial" w:hAnsi="Arial" w:cs="Arial"/>
          <w:sz w:val="20"/>
          <w:szCs w:val="20"/>
        </w:rPr>
        <w:t xml:space="preserve">Penelitian ini menggunakan 22 sampel </w:t>
      </w:r>
      <w:r w:rsidRPr="00EA245B">
        <w:rPr>
          <w:rFonts w:ascii="Arial" w:hAnsi="Arial" w:cs="Arial"/>
          <w:sz w:val="20"/>
          <w:szCs w:val="20"/>
          <w:lang w:val="id-ID"/>
        </w:rPr>
        <w:t>darah</w:t>
      </w:r>
      <w:r w:rsidRPr="00EA245B">
        <w:rPr>
          <w:rFonts w:ascii="Arial" w:hAnsi="Arial" w:cs="Arial"/>
          <w:sz w:val="20"/>
          <w:szCs w:val="20"/>
        </w:rPr>
        <w:t xml:space="preserve"> pasien KNF yang diambil di RSUD Prof. </w:t>
      </w:r>
      <w:proofErr w:type="gramStart"/>
      <w:r w:rsidRPr="00EA245B">
        <w:rPr>
          <w:rFonts w:ascii="Arial" w:hAnsi="Arial" w:cs="Arial"/>
          <w:sz w:val="20"/>
          <w:szCs w:val="20"/>
        </w:rPr>
        <w:t>dr</w:t>
      </w:r>
      <w:proofErr w:type="gramEnd"/>
      <w:r w:rsidRPr="00EA245B">
        <w:rPr>
          <w:rFonts w:ascii="Arial" w:hAnsi="Arial" w:cs="Arial"/>
          <w:sz w:val="20"/>
          <w:szCs w:val="20"/>
        </w:rPr>
        <w:t xml:space="preserve">. Margono Soekarjo, Purwokerto. </w:t>
      </w:r>
      <w:r w:rsidRPr="00EA245B">
        <w:rPr>
          <w:rFonts w:ascii="Arial" w:hAnsi="Arial" w:cs="Arial"/>
          <w:sz w:val="20"/>
          <w:szCs w:val="20"/>
        </w:rPr>
        <w:lastRenderedPageBreak/>
        <w:t>Sebanyak 21 sampel (95</w:t>
      </w:r>
      <w:proofErr w:type="gramStart"/>
      <w:r w:rsidRPr="00EA245B">
        <w:rPr>
          <w:rFonts w:ascii="Arial" w:hAnsi="Arial" w:cs="Arial"/>
          <w:sz w:val="20"/>
          <w:szCs w:val="20"/>
        </w:rPr>
        <w:t>,56</w:t>
      </w:r>
      <w:proofErr w:type="gramEnd"/>
      <w:r w:rsidRPr="00EA245B">
        <w:rPr>
          <w:rFonts w:ascii="Arial" w:hAnsi="Arial" w:cs="Arial"/>
          <w:sz w:val="20"/>
          <w:szCs w:val="20"/>
        </w:rPr>
        <w:t xml:space="preserve">%) adalah KNF TIPE WHO-3 dan 1 sampel (4,44%) adalah KNF WHO-2. </w:t>
      </w:r>
      <w:proofErr w:type="gramStart"/>
      <w:r w:rsidR="005A3917" w:rsidRPr="00EA245B">
        <w:rPr>
          <w:rFonts w:ascii="Arial" w:hAnsi="Arial" w:cs="Arial"/>
          <w:sz w:val="20"/>
          <w:szCs w:val="20"/>
        </w:rPr>
        <w:t xml:space="preserve">Menurut Ariwibowo (2013), KNF WHO-2 dan KNF WHO-3 paling banyak dijumpai di daerah endemik KNF, seperti di </w:t>
      </w:r>
      <w:r w:rsidR="00B636AD" w:rsidRPr="00EA245B">
        <w:rPr>
          <w:rFonts w:ascii="Arial" w:hAnsi="Arial" w:cs="Arial"/>
          <w:sz w:val="20"/>
          <w:szCs w:val="20"/>
        </w:rPr>
        <w:t xml:space="preserve">Tiongkok </w:t>
      </w:r>
      <w:r w:rsidR="005A3917" w:rsidRPr="00EA245B">
        <w:rPr>
          <w:rFonts w:ascii="Arial" w:hAnsi="Arial" w:cs="Arial"/>
          <w:sz w:val="20"/>
          <w:szCs w:val="20"/>
        </w:rPr>
        <w:t>Selatan, Asia Tenggara, dan Afrika Utara.</w:t>
      </w:r>
      <w:proofErr w:type="gramEnd"/>
      <w:r w:rsidR="005A3917" w:rsidRPr="00EA245B">
        <w:rPr>
          <w:rFonts w:ascii="Arial" w:hAnsi="Arial" w:cs="Arial"/>
          <w:sz w:val="20"/>
          <w:szCs w:val="20"/>
        </w:rPr>
        <w:t xml:space="preserve"> </w:t>
      </w:r>
      <w:proofErr w:type="gramStart"/>
      <w:r w:rsidR="005A3917" w:rsidRPr="00EA245B">
        <w:rPr>
          <w:rFonts w:ascii="Arial" w:hAnsi="Arial" w:cs="Arial"/>
          <w:sz w:val="20"/>
          <w:szCs w:val="20"/>
        </w:rPr>
        <w:t>Sementara KNF WHO-1 lebih sering dijumpai di Eropa dengan prognosis yang lebih buruk.</w:t>
      </w:r>
      <w:proofErr w:type="gramEnd"/>
    </w:p>
    <w:p w:rsidR="00115F54" w:rsidRPr="00EA245B" w:rsidRDefault="00A33A86" w:rsidP="00EA245B">
      <w:pPr>
        <w:autoSpaceDE w:val="0"/>
        <w:autoSpaceDN w:val="0"/>
        <w:adjustRightInd w:val="0"/>
        <w:spacing w:after="0" w:line="240" w:lineRule="auto"/>
        <w:ind w:firstLine="426"/>
        <w:jc w:val="both"/>
        <w:rPr>
          <w:rFonts w:ascii="Arial" w:hAnsi="Arial" w:cs="Arial"/>
          <w:b/>
          <w:sz w:val="20"/>
          <w:szCs w:val="20"/>
        </w:rPr>
      </w:pPr>
      <w:proofErr w:type="gramStart"/>
      <w:r w:rsidRPr="00EA245B">
        <w:rPr>
          <w:rFonts w:ascii="Arial" w:hAnsi="Arial" w:cs="Arial"/>
          <w:sz w:val="20"/>
          <w:szCs w:val="20"/>
        </w:rPr>
        <w:t xml:space="preserve">Semua pasien KNF di RSMS yang menjadi </w:t>
      </w:r>
      <w:r w:rsidRPr="00EA245B">
        <w:rPr>
          <w:rFonts w:ascii="Arial" w:hAnsi="Arial" w:cs="Arial"/>
          <w:sz w:val="20"/>
          <w:szCs w:val="20"/>
          <w:lang w:val="id-ID"/>
        </w:rPr>
        <w:t>subjek</w:t>
      </w:r>
      <w:r w:rsidRPr="00EA245B">
        <w:rPr>
          <w:rFonts w:ascii="Arial" w:hAnsi="Arial" w:cs="Arial"/>
          <w:sz w:val="20"/>
          <w:szCs w:val="20"/>
        </w:rPr>
        <w:t xml:space="preserve"> penelitian adalah suku Jawa.</w:t>
      </w:r>
      <w:proofErr w:type="gramEnd"/>
      <w:r w:rsidRPr="00EA245B">
        <w:rPr>
          <w:rFonts w:ascii="Arial" w:hAnsi="Arial" w:cs="Arial"/>
          <w:sz w:val="20"/>
          <w:szCs w:val="20"/>
        </w:rPr>
        <w:t xml:space="preserve"> </w:t>
      </w:r>
      <w:proofErr w:type="gramStart"/>
      <w:r w:rsidRPr="00EA245B">
        <w:rPr>
          <w:rFonts w:ascii="Arial" w:hAnsi="Arial" w:cs="Arial"/>
          <w:sz w:val="20"/>
          <w:szCs w:val="20"/>
        </w:rPr>
        <w:t>Hal ini disebabkan letak geografis RSMS yang berada di Purwokerto, Kabupaten Banyumas, Jawa Tengah dan banyaknya orang Jawa yang berobat ke RSMS.</w:t>
      </w:r>
      <w:proofErr w:type="gramEnd"/>
      <w:r w:rsidRPr="00EA245B">
        <w:rPr>
          <w:rFonts w:ascii="Arial" w:hAnsi="Arial" w:cs="Arial"/>
          <w:sz w:val="20"/>
          <w:szCs w:val="20"/>
        </w:rPr>
        <w:t xml:space="preserve"> </w:t>
      </w:r>
      <w:proofErr w:type="gramStart"/>
      <w:r w:rsidRPr="00EA245B">
        <w:rPr>
          <w:rFonts w:ascii="Arial" w:hAnsi="Arial" w:cs="Arial"/>
          <w:sz w:val="20"/>
          <w:szCs w:val="20"/>
        </w:rPr>
        <w:t>Meskipun etnis Tiongkok memiliki risiko KNF yang tinggi, namun tidak ditemukan adanya pasien beretnis Tiongkok yang berobat ke RSMS.</w:t>
      </w:r>
      <w:proofErr w:type="gramEnd"/>
      <w:r w:rsidRPr="00EA245B">
        <w:rPr>
          <w:rFonts w:ascii="Arial" w:hAnsi="Arial" w:cs="Arial"/>
          <w:sz w:val="20"/>
          <w:szCs w:val="20"/>
        </w:rPr>
        <w:t xml:space="preserve"> Berdasarkan penelitian yang dilakukan Yurnadi et al. (2011) di RSCM Jakarta, sedikitnya pasien etnis Tiongkok yang berobat di rumah sakit pemerintah disebabkan etnis Tiongkok mempunyai tingkat sosioekonomi yang tinggi sehingga lebih memilih berobat ke rumah sakit swasta atau ke luar negeri. </w:t>
      </w:r>
    </w:p>
    <w:p w:rsidR="00115F54" w:rsidRDefault="00115F54" w:rsidP="00115F54">
      <w:pPr>
        <w:spacing w:after="0" w:line="240" w:lineRule="auto"/>
        <w:rPr>
          <w:rFonts w:ascii="Times New Roman" w:hAnsi="Times New Roman" w:cs="Times New Roman"/>
        </w:rPr>
      </w:pPr>
    </w:p>
    <w:p w:rsidR="00EA245B" w:rsidRDefault="00EA245B" w:rsidP="00115F54">
      <w:pPr>
        <w:spacing w:after="0" w:line="240" w:lineRule="auto"/>
        <w:rPr>
          <w:rFonts w:ascii="Times New Roman" w:hAnsi="Times New Roman" w:cs="Times New Roman"/>
          <w:b/>
        </w:rPr>
        <w:sectPr w:rsidR="00EA245B" w:rsidSect="00B8572A">
          <w:type w:val="continuous"/>
          <w:pgSz w:w="12240" w:h="15840"/>
          <w:pgMar w:top="1418" w:right="1418" w:bottom="1418" w:left="2268" w:header="720" w:footer="720" w:gutter="0"/>
          <w:cols w:num="2" w:space="720"/>
          <w:docGrid w:linePitch="360"/>
        </w:sectPr>
      </w:pPr>
    </w:p>
    <w:p w:rsidR="00EA245B" w:rsidRDefault="00EA245B" w:rsidP="00115F54">
      <w:pPr>
        <w:spacing w:after="0" w:line="240" w:lineRule="auto"/>
        <w:rPr>
          <w:rFonts w:ascii="Times New Roman" w:hAnsi="Times New Roman" w:cs="Times New Roman"/>
          <w:b/>
          <w:lang w:val="id-ID"/>
        </w:rPr>
      </w:pPr>
    </w:p>
    <w:p w:rsidR="00115F54" w:rsidRPr="0004404F" w:rsidRDefault="0004404F" w:rsidP="00EA245B">
      <w:pPr>
        <w:spacing w:after="0" w:line="240" w:lineRule="auto"/>
        <w:jc w:val="center"/>
        <w:rPr>
          <w:rFonts w:ascii="Times New Roman" w:hAnsi="Times New Roman" w:cs="Times New Roman"/>
          <w:b/>
        </w:rPr>
      </w:pPr>
      <w:proofErr w:type="gramStart"/>
      <w:r>
        <w:rPr>
          <w:rFonts w:ascii="Times New Roman" w:hAnsi="Times New Roman" w:cs="Times New Roman"/>
          <w:b/>
        </w:rPr>
        <w:t xml:space="preserve">Tabel </w:t>
      </w:r>
      <w:r w:rsidR="00115F54" w:rsidRPr="0004404F">
        <w:rPr>
          <w:rFonts w:ascii="Times New Roman" w:hAnsi="Times New Roman" w:cs="Times New Roman"/>
          <w:b/>
        </w:rPr>
        <w:t>1.</w:t>
      </w:r>
      <w:proofErr w:type="gramEnd"/>
      <w:r w:rsidR="00115F54" w:rsidRPr="0004404F">
        <w:rPr>
          <w:rFonts w:ascii="Times New Roman" w:hAnsi="Times New Roman" w:cs="Times New Roman"/>
          <w:b/>
        </w:rPr>
        <w:t xml:space="preserve"> Karakteristik </w:t>
      </w:r>
      <w:r w:rsidR="00A33A86">
        <w:rPr>
          <w:rFonts w:ascii="Times New Roman" w:hAnsi="Times New Roman" w:cs="Times New Roman"/>
          <w:b/>
        </w:rPr>
        <w:t xml:space="preserve">jenis kelamin </w:t>
      </w:r>
      <w:r w:rsidR="00115F54" w:rsidRPr="0004404F">
        <w:rPr>
          <w:rFonts w:ascii="Times New Roman" w:hAnsi="Times New Roman" w:cs="Times New Roman"/>
          <w:b/>
        </w:rPr>
        <w:t>sampel pasien KNF</w:t>
      </w:r>
    </w:p>
    <w:tbl>
      <w:tblPr>
        <w:tblW w:w="4045" w:type="dxa"/>
        <w:jc w:val="center"/>
        <w:tblInd w:w="108" w:type="dxa"/>
        <w:tblBorders>
          <w:top w:val="single" w:sz="4" w:space="0" w:color="auto"/>
          <w:bottom w:val="single" w:sz="4" w:space="0" w:color="auto"/>
        </w:tblBorders>
        <w:tblLook w:val="04A0" w:firstRow="1" w:lastRow="0" w:firstColumn="1" w:lastColumn="0" w:noHBand="0" w:noVBand="1"/>
      </w:tblPr>
      <w:tblGrid>
        <w:gridCol w:w="1500"/>
        <w:gridCol w:w="1327"/>
        <w:gridCol w:w="1218"/>
      </w:tblGrid>
      <w:tr w:rsidR="00EB4CA3" w:rsidRPr="0004404F" w:rsidTr="00EA245B">
        <w:trPr>
          <w:trHeight w:val="227"/>
          <w:jc w:val="center"/>
        </w:trPr>
        <w:tc>
          <w:tcPr>
            <w:tcW w:w="1500" w:type="dxa"/>
            <w:tcBorders>
              <w:top w:val="single" w:sz="4" w:space="0" w:color="auto"/>
              <w:bottom w:val="single" w:sz="4" w:space="0" w:color="auto"/>
            </w:tcBorders>
            <w:shd w:val="clear" w:color="auto" w:fill="92CDDC" w:themeFill="accent5" w:themeFillTint="99"/>
            <w:vAlign w:val="bottom"/>
          </w:tcPr>
          <w:p w:rsidR="00115F54" w:rsidRPr="0004404F" w:rsidRDefault="00115F54" w:rsidP="00115F54">
            <w:pPr>
              <w:spacing w:after="0" w:line="240" w:lineRule="auto"/>
              <w:jc w:val="center"/>
              <w:rPr>
                <w:rFonts w:ascii="Times New Roman" w:eastAsia="Times New Roman" w:hAnsi="Times New Roman" w:cs="Times New Roman"/>
                <w:b/>
                <w:sz w:val="20"/>
                <w:szCs w:val="20"/>
              </w:rPr>
            </w:pPr>
            <w:r w:rsidRPr="0004404F">
              <w:rPr>
                <w:rFonts w:ascii="Times New Roman" w:eastAsia="Times New Roman" w:hAnsi="Times New Roman" w:cs="Times New Roman"/>
                <w:b/>
                <w:sz w:val="20"/>
                <w:szCs w:val="20"/>
              </w:rPr>
              <w:t>Karakteristik Sampel</w:t>
            </w:r>
          </w:p>
        </w:tc>
        <w:tc>
          <w:tcPr>
            <w:tcW w:w="1327" w:type="dxa"/>
            <w:tcBorders>
              <w:top w:val="single" w:sz="4" w:space="0" w:color="auto"/>
              <w:bottom w:val="single" w:sz="4" w:space="0" w:color="auto"/>
            </w:tcBorders>
            <w:shd w:val="clear" w:color="auto" w:fill="92CDDC" w:themeFill="accent5" w:themeFillTint="99"/>
            <w:vAlign w:val="bottom"/>
          </w:tcPr>
          <w:p w:rsidR="00115F54" w:rsidRPr="0004404F" w:rsidRDefault="00115F54" w:rsidP="00115F54">
            <w:pPr>
              <w:spacing w:after="0" w:line="240" w:lineRule="auto"/>
              <w:jc w:val="center"/>
              <w:rPr>
                <w:rFonts w:ascii="Times New Roman" w:eastAsia="Times New Roman" w:hAnsi="Times New Roman" w:cs="Times New Roman"/>
                <w:b/>
                <w:sz w:val="20"/>
                <w:szCs w:val="20"/>
              </w:rPr>
            </w:pPr>
            <w:r w:rsidRPr="0004404F">
              <w:rPr>
                <w:rFonts w:ascii="Times New Roman" w:eastAsia="Times New Roman" w:hAnsi="Times New Roman" w:cs="Times New Roman"/>
                <w:b/>
                <w:sz w:val="20"/>
                <w:szCs w:val="20"/>
              </w:rPr>
              <w:t>Jumlah</w:t>
            </w:r>
          </w:p>
          <w:p w:rsidR="0004404F" w:rsidRPr="0004404F" w:rsidRDefault="0004404F" w:rsidP="00115F54">
            <w:pPr>
              <w:spacing w:after="0" w:line="240" w:lineRule="auto"/>
              <w:jc w:val="center"/>
              <w:rPr>
                <w:rFonts w:ascii="Times New Roman" w:eastAsia="Times New Roman" w:hAnsi="Times New Roman" w:cs="Times New Roman"/>
                <w:b/>
                <w:sz w:val="20"/>
                <w:szCs w:val="20"/>
              </w:rPr>
            </w:pPr>
          </w:p>
        </w:tc>
        <w:tc>
          <w:tcPr>
            <w:tcW w:w="1218" w:type="dxa"/>
            <w:tcBorders>
              <w:top w:val="single" w:sz="4" w:space="0" w:color="auto"/>
              <w:bottom w:val="single" w:sz="4" w:space="0" w:color="auto"/>
            </w:tcBorders>
            <w:shd w:val="clear" w:color="auto" w:fill="92CDDC" w:themeFill="accent5" w:themeFillTint="99"/>
            <w:vAlign w:val="bottom"/>
          </w:tcPr>
          <w:p w:rsidR="00115F54" w:rsidRPr="0004404F" w:rsidRDefault="00115F54" w:rsidP="00115F54">
            <w:pPr>
              <w:spacing w:after="0" w:line="240" w:lineRule="auto"/>
              <w:jc w:val="center"/>
              <w:rPr>
                <w:rFonts w:ascii="Times New Roman" w:eastAsia="Times New Roman" w:hAnsi="Times New Roman" w:cs="Times New Roman"/>
                <w:b/>
                <w:sz w:val="20"/>
                <w:szCs w:val="20"/>
              </w:rPr>
            </w:pPr>
            <w:r w:rsidRPr="0004404F">
              <w:rPr>
                <w:rFonts w:ascii="Times New Roman" w:eastAsia="Times New Roman" w:hAnsi="Times New Roman" w:cs="Times New Roman"/>
                <w:b/>
                <w:sz w:val="20"/>
                <w:szCs w:val="20"/>
              </w:rPr>
              <w:t>Presentase (%)</w:t>
            </w:r>
          </w:p>
        </w:tc>
      </w:tr>
      <w:tr w:rsidR="00EB4CA3" w:rsidRPr="0004404F" w:rsidTr="00EA245B">
        <w:trPr>
          <w:trHeight w:val="227"/>
          <w:jc w:val="center"/>
        </w:trPr>
        <w:tc>
          <w:tcPr>
            <w:tcW w:w="1500" w:type="dxa"/>
            <w:tcBorders>
              <w:top w:val="single" w:sz="4" w:space="0" w:color="auto"/>
              <w:bottom w:val="single" w:sz="4" w:space="0" w:color="auto"/>
            </w:tcBorders>
            <w:shd w:val="clear" w:color="auto" w:fill="DAEEF3" w:themeFill="accent5" w:themeFillTint="33"/>
            <w:vAlign w:val="bottom"/>
          </w:tcPr>
          <w:p w:rsidR="00115F54" w:rsidRPr="0004404F" w:rsidRDefault="00115F54" w:rsidP="00115F54">
            <w:pPr>
              <w:spacing w:after="0" w:line="240" w:lineRule="auto"/>
              <w:rPr>
                <w:rFonts w:ascii="Times New Roman" w:eastAsia="Times New Roman" w:hAnsi="Times New Roman" w:cs="Times New Roman"/>
                <w:b/>
                <w:sz w:val="20"/>
                <w:szCs w:val="20"/>
              </w:rPr>
            </w:pPr>
            <w:r w:rsidRPr="0004404F">
              <w:rPr>
                <w:rFonts w:ascii="Times New Roman" w:eastAsia="Times New Roman" w:hAnsi="Times New Roman" w:cs="Times New Roman"/>
                <w:b/>
                <w:sz w:val="20"/>
                <w:szCs w:val="20"/>
              </w:rPr>
              <w:t>Besar Sampel</w:t>
            </w:r>
          </w:p>
        </w:tc>
        <w:tc>
          <w:tcPr>
            <w:tcW w:w="1327" w:type="dxa"/>
            <w:tcBorders>
              <w:top w:val="single" w:sz="4" w:space="0" w:color="auto"/>
              <w:bottom w:val="single" w:sz="4" w:space="0" w:color="auto"/>
            </w:tcBorders>
            <w:shd w:val="clear" w:color="auto" w:fill="DAEEF3" w:themeFill="accent5" w:themeFillTint="33"/>
            <w:vAlign w:val="bottom"/>
          </w:tcPr>
          <w:p w:rsidR="00115F54" w:rsidRPr="0004404F" w:rsidRDefault="00115F54" w:rsidP="00115F54">
            <w:pPr>
              <w:spacing w:after="0" w:line="240" w:lineRule="auto"/>
              <w:jc w:val="center"/>
              <w:rPr>
                <w:rFonts w:ascii="Times New Roman" w:eastAsia="Times New Roman" w:hAnsi="Times New Roman" w:cs="Times New Roman"/>
                <w:b/>
                <w:sz w:val="20"/>
                <w:szCs w:val="20"/>
              </w:rPr>
            </w:pPr>
            <w:r w:rsidRPr="0004404F">
              <w:rPr>
                <w:rFonts w:ascii="Times New Roman" w:eastAsia="Times New Roman" w:hAnsi="Times New Roman" w:cs="Times New Roman"/>
                <w:b/>
                <w:sz w:val="20"/>
                <w:szCs w:val="20"/>
              </w:rPr>
              <w:t>22</w:t>
            </w:r>
          </w:p>
        </w:tc>
        <w:tc>
          <w:tcPr>
            <w:tcW w:w="1218" w:type="dxa"/>
            <w:tcBorders>
              <w:top w:val="single" w:sz="4" w:space="0" w:color="auto"/>
              <w:bottom w:val="single" w:sz="4" w:space="0" w:color="auto"/>
            </w:tcBorders>
            <w:shd w:val="clear" w:color="auto" w:fill="DAEEF3" w:themeFill="accent5" w:themeFillTint="33"/>
            <w:vAlign w:val="bottom"/>
          </w:tcPr>
          <w:p w:rsidR="00115F54" w:rsidRPr="0004404F" w:rsidRDefault="00115F54" w:rsidP="00115F54">
            <w:pPr>
              <w:spacing w:after="0" w:line="240" w:lineRule="auto"/>
              <w:jc w:val="center"/>
              <w:rPr>
                <w:rFonts w:ascii="Times New Roman" w:eastAsia="Times New Roman" w:hAnsi="Times New Roman" w:cs="Times New Roman"/>
                <w:b/>
                <w:sz w:val="20"/>
                <w:szCs w:val="20"/>
              </w:rPr>
            </w:pPr>
            <w:r w:rsidRPr="0004404F">
              <w:rPr>
                <w:rFonts w:ascii="Times New Roman" w:eastAsia="Times New Roman" w:hAnsi="Times New Roman" w:cs="Times New Roman"/>
                <w:b/>
                <w:sz w:val="20"/>
                <w:szCs w:val="20"/>
              </w:rPr>
              <w:t>100</w:t>
            </w:r>
          </w:p>
        </w:tc>
      </w:tr>
      <w:tr w:rsidR="00EB4CA3" w:rsidRPr="0004404F" w:rsidTr="00EA245B">
        <w:trPr>
          <w:trHeight w:val="227"/>
          <w:jc w:val="center"/>
        </w:trPr>
        <w:tc>
          <w:tcPr>
            <w:tcW w:w="1500" w:type="dxa"/>
            <w:tcBorders>
              <w:top w:val="single" w:sz="4" w:space="0" w:color="auto"/>
            </w:tcBorders>
            <w:shd w:val="clear" w:color="auto" w:fill="DAEEF3" w:themeFill="accent5" w:themeFillTint="33"/>
            <w:vAlign w:val="bottom"/>
          </w:tcPr>
          <w:p w:rsidR="00115F54" w:rsidRPr="0004404F" w:rsidRDefault="00115F54" w:rsidP="00115F54">
            <w:pPr>
              <w:spacing w:after="0" w:line="240" w:lineRule="auto"/>
              <w:rPr>
                <w:rFonts w:ascii="Times New Roman" w:eastAsia="Times New Roman" w:hAnsi="Times New Roman" w:cs="Times New Roman"/>
                <w:b/>
                <w:bCs/>
                <w:sz w:val="20"/>
                <w:szCs w:val="20"/>
              </w:rPr>
            </w:pPr>
            <w:r w:rsidRPr="0004404F">
              <w:rPr>
                <w:rFonts w:ascii="Times New Roman" w:eastAsia="Times New Roman" w:hAnsi="Times New Roman" w:cs="Times New Roman"/>
                <w:b/>
                <w:bCs/>
                <w:sz w:val="20"/>
                <w:szCs w:val="20"/>
              </w:rPr>
              <w:t>Jenis Kelamin</w:t>
            </w:r>
          </w:p>
        </w:tc>
        <w:tc>
          <w:tcPr>
            <w:tcW w:w="1327" w:type="dxa"/>
            <w:tcBorders>
              <w:top w:val="single" w:sz="4" w:space="0" w:color="auto"/>
            </w:tcBorders>
            <w:shd w:val="clear" w:color="auto" w:fill="DAEEF3" w:themeFill="accent5" w:themeFillTint="33"/>
          </w:tcPr>
          <w:p w:rsidR="00115F54" w:rsidRPr="0004404F" w:rsidRDefault="00115F54" w:rsidP="00115F54">
            <w:pPr>
              <w:tabs>
                <w:tab w:val="left" w:pos="426"/>
              </w:tabs>
              <w:spacing w:after="0" w:line="240" w:lineRule="auto"/>
              <w:jc w:val="both"/>
              <w:rPr>
                <w:rFonts w:ascii="Times New Roman" w:hAnsi="Times New Roman" w:cs="Times New Roman"/>
                <w:b/>
                <w:sz w:val="20"/>
                <w:szCs w:val="20"/>
              </w:rPr>
            </w:pPr>
          </w:p>
        </w:tc>
        <w:tc>
          <w:tcPr>
            <w:tcW w:w="1218" w:type="dxa"/>
            <w:tcBorders>
              <w:top w:val="single" w:sz="4" w:space="0" w:color="auto"/>
            </w:tcBorders>
            <w:shd w:val="clear" w:color="auto" w:fill="DAEEF3" w:themeFill="accent5" w:themeFillTint="33"/>
          </w:tcPr>
          <w:p w:rsidR="00115F54" w:rsidRPr="0004404F" w:rsidRDefault="00115F54" w:rsidP="00115F54">
            <w:pPr>
              <w:tabs>
                <w:tab w:val="left" w:pos="426"/>
              </w:tabs>
              <w:spacing w:after="0" w:line="240" w:lineRule="auto"/>
              <w:jc w:val="both"/>
              <w:rPr>
                <w:rFonts w:ascii="Times New Roman" w:hAnsi="Times New Roman" w:cs="Times New Roman"/>
                <w:b/>
                <w:sz w:val="20"/>
                <w:szCs w:val="20"/>
              </w:rPr>
            </w:pPr>
          </w:p>
        </w:tc>
      </w:tr>
      <w:tr w:rsidR="00EB4CA3" w:rsidRPr="0004404F" w:rsidTr="00EA245B">
        <w:trPr>
          <w:trHeight w:val="227"/>
          <w:jc w:val="center"/>
        </w:trPr>
        <w:tc>
          <w:tcPr>
            <w:tcW w:w="1500" w:type="dxa"/>
            <w:vAlign w:val="bottom"/>
          </w:tcPr>
          <w:p w:rsidR="00115F54" w:rsidRPr="0004404F" w:rsidRDefault="00115F54" w:rsidP="00115F54">
            <w:pPr>
              <w:spacing w:after="0" w:line="240" w:lineRule="auto"/>
              <w:rPr>
                <w:rFonts w:ascii="Times New Roman" w:eastAsia="Times New Roman" w:hAnsi="Times New Roman" w:cs="Times New Roman"/>
                <w:sz w:val="20"/>
                <w:szCs w:val="20"/>
              </w:rPr>
            </w:pPr>
            <w:r w:rsidRPr="0004404F">
              <w:rPr>
                <w:rFonts w:ascii="Times New Roman" w:eastAsia="Times New Roman" w:hAnsi="Times New Roman" w:cs="Times New Roman"/>
                <w:sz w:val="20"/>
                <w:szCs w:val="20"/>
              </w:rPr>
              <w:t>Laki-laki</w:t>
            </w:r>
          </w:p>
        </w:tc>
        <w:tc>
          <w:tcPr>
            <w:tcW w:w="1327" w:type="dxa"/>
            <w:vAlign w:val="bottom"/>
          </w:tcPr>
          <w:p w:rsidR="00115F54" w:rsidRPr="0004404F" w:rsidRDefault="00115F54" w:rsidP="00115F54">
            <w:pPr>
              <w:spacing w:after="0" w:line="240" w:lineRule="auto"/>
              <w:jc w:val="center"/>
              <w:rPr>
                <w:rFonts w:ascii="Times New Roman" w:eastAsia="Times New Roman" w:hAnsi="Times New Roman" w:cs="Times New Roman"/>
                <w:sz w:val="20"/>
                <w:szCs w:val="20"/>
              </w:rPr>
            </w:pPr>
            <w:r w:rsidRPr="0004404F">
              <w:rPr>
                <w:rFonts w:ascii="Times New Roman" w:eastAsia="Times New Roman" w:hAnsi="Times New Roman" w:cs="Times New Roman"/>
                <w:sz w:val="20"/>
                <w:szCs w:val="20"/>
              </w:rPr>
              <w:t>18</w:t>
            </w:r>
          </w:p>
        </w:tc>
        <w:tc>
          <w:tcPr>
            <w:tcW w:w="1218" w:type="dxa"/>
            <w:vAlign w:val="bottom"/>
          </w:tcPr>
          <w:p w:rsidR="00115F54" w:rsidRPr="0004404F" w:rsidRDefault="00115F54" w:rsidP="00115F54">
            <w:pPr>
              <w:spacing w:after="0" w:line="240" w:lineRule="auto"/>
              <w:jc w:val="center"/>
              <w:rPr>
                <w:rFonts w:ascii="Times New Roman" w:eastAsia="Times New Roman" w:hAnsi="Times New Roman" w:cs="Times New Roman"/>
                <w:sz w:val="20"/>
                <w:szCs w:val="20"/>
              </w:rPr>
            </w:pPr>
            <w:r w:rsidRPr="0004404F">
              <w:rPr>
                <w:rFonts w:ascii="Times New Roman" w:eastAsia="Times New Roman" w:hAnsi="Times New Roman" w:cs="Times New Roman"/>
                <w:sz w:val="20"/>
                <w:szCs w:val="20"/>
              </w:rPr>
              <w:t>81,82</w:t>
            </w:r>
          </w:p>
        </w:tc>
      </w:tr>
      <w:tr w:rsidR="00EB4CA3" w:rsidRPr="0004404F" w:rsidTr="00EA245B">
        <w:trPr>
          <w:trHeight w:val="227"/>
          <w:jc w:val="center"/>
        </w:trPr>
        <w:tc>
          <w:tcPr>
            <w:tcW w:w="1500" w:type="dxa"/>
            <w:vAlign w:val="bottom"/>
          </w:tcPr>
          <w:p w:rsidR="00115F54" w:rsidRPr="0004404F" w:rsidRDefault="00115F54" w:rsidP="00115F54">
            <w:pPr>
              <w:spacing w:after="0" w:line="240" w:lineRule="auto"/>
              <w:rPr>
                <w:rFonts w:ascii="Times New Roman" w:eastAsia="Times New Roman" w:hAnsi="Times New Roman" w:cs="Times New Roman"/>
                <w:sz w:val="20"/>
                <w:szCs w:val="20"/>
              </w:rPr>
            </w:pPr>
            <w:r w:rsidRPr="0004404F">
              <w:rPr>
                <w:rFonts w:ascii="Times New Roman" w:eastAsia="Times New Roman" w:hAnsi="Times New Roman" w:cs="Times New Roman"/>
                <w:sz w:val="20"/>
                <w:szCs w:val="20"/>
              </w:rPr>
              <w:t>Perempuan</w:t>
            </w:r>
          </w:p>
        </w:tc>
        <w:tc>
          <w:tcPr>
            <w:tcW w:w="1327" w:type="dxa"/>
            <w:vAlign w:val="bottom"/>
          </w:tcPr>
          <w:p w:rsidR="00115F54" w:rsidRPr="0004404F" w:rsidRDefault="00115F54" w:rsidP="00115F54">
            <w:pPr>
              <w:spacing w:after="0" w:line="240" w:lineRule="auto"/>
              <w:jc w:val="center"/>
              <w:rPr>
                <w:rFonts w:ascii="Times New Roman" w:eastAsia="Times New Roman" w:hAnsi="Times New Roman" w:cs="Times New Roman"/>
                <w:sz w:val="20"/>
                <w:szCs w:val="20"/>
              </w:rPr>
            </w:pPr>
            <w:r w:rsidRPr="0004404F">
              <w:rPr>
                <w:rFonts w:ascii="Times New Roman" w:eastAsia="Times New Roman" w:hAnsi="Times New Roman" w:cs="Times New Roman"/>
                <w:sz w:val="20"/>
                <w:szCs w:val="20"/>
              </w:rPr>
              <w:t>4</w:t>
            </w:r>
          </w:p>
        </w:tc>
        <w:tc>
          <w:tcPr>
            <w:tcW w:w="1218" w:type="dxa"/>
            <w:vAlign w:val="bottom"/>
          </w:tcPr>
          <w:p w:rsidR="00115F54" w:rsidRPr="0004404F" w:rsidRDefault="00115F54" w:rsidP="00115F54">
            <w:pPr>
              <w:spacing w:after="0" w:line="240" w:lineRule="auto"/>
              <w:jc w:val="center"/>
              <w:rPr>
                <w:rFonts w:ascii="Times New Roman" w:eastAsia="Times New Roman" w:hAnsi="Times New Roman" w:cs="Times New Roman"/>
                <w:sz w:val="20"/>
                <w:szCs w:val="20"/>
              </w:rPr>
            </w:pPr>
            <w:r w:rsidRPr="0004404F">
              <w:rPr>
                <w:rFonts w:ascii="Times New Roman" w:eastAsia="Times New Roman" w:hAnsi="Times New Roman" w:cs="Times New Roman"/>
                <w:sz w:val="20"/>
                <w:szCs w:val="20"/>
              </w:rPr>
              <w:t>18,18</w:t>
            </w:r>
          </w:p>
        </w:tc>
      </w:tr>
    </w:tbl>
    <w:p w:rsidR="00115F54" w:rsidRPr="0004404F" w:rsidRDefault="00115F54" w:rsidP="00115F54">
      <w:pPr>
        <w:tabs>
          <w:tab w:val="left" w:pos="426"/>
        </w:tabs>
        <w:spacing w:after="0" w:line="240" w:lineRule="auto"/>
        <w:ind w:left="284" w:firstLine="567"/>
        <w:jc w:val="both"/>
        <w:rPr>
          <w:rFonts w:ascii="Times New Roman" w:hAnsi="Times New Roman" w:cs="Times New Roman"/>
        </w:rPr>
      </w:pPr>
    </w:p>
    <w:p w:rsidR="00EA245B" w:rsidRDefault="00EA245B" w:rsidP="00A75755">
      <w:pPr>
        <w:tabs>
          <w:tab w:val="left" w:pos="426"/>
        </w:tabs>
        <w:spacing w:after="0" w:line="240" w:lineRule="auto"/>
        <w:ind w:firstLine="567"/>
        <w:jc w:val="both"/>
        <w:rPr>
          <w:rFonts w:ascii="Times New Roman" w:hAnsi="Times New Roman" w:cs="Times New Roman"/>
        </w:rPr>
        <w:sectPr w:rsidR="00EA245B" w:rsidSect="00EA245B">
          <w:type w:val="continuous"/>
          <w:pgSz w:w="12240" w:h="15840"/>
          <w:pgMar w:top="1418" w:right="1418" w:bottom="1418" w:left="2268" w:header="720" w:footer="720" w:gutter="0"/>
          <w:cols w:space="720"/>
          <w:docGrid w:linePitch="360"/>
        </w:sectPr>
      </w:pPr>
    </w:p>
    <w:p w:rsidR="00115F54" w:rsidRPr="00EA245B" w:rsidRDefault="00B94EF7" w:rsidP="00EA245B">
      <w:pPr>
        <w:autoSpaceDE w:val="0"/>
        <w:autoSpaceDN w:val="0"/>
        <w:adjustRightInd w:val="0"/>
        <w:spacing w:after="0" w:line="240" w:lineRule="auto"/>
        <w:ind w:firstLine="426"/>
        <w:jc w:val="both"/>
        <w:rPr>
          <w:rFonts w:ascii="Arial" w:hAnsi="Arial" w:cs="Arial"/>
          <w:sz w:val="20"/>
          <w:szCs w:val="20"/>
        </w:rPr>
      </w:pPr>
      <w:proofErr w:type="gramStart"/>
      <w:r w:rsidRPr="00EA245B">
        <w:rPr>
          <w:rFonts w:ascii="Arial" w:hAnsi="Arial" w:cs="Arial"/>
          <w:sz w:val="20"/>
          <w:szCs w:val="20"/>
        </w:rPr>
        <w:lastRenderedPageBreak/>
        <w:t xml:space="preserve">Tabel </w:t>
      </w:r>
      <w:r w:rsidR="00115F54" w:rsidRPr="00EA245B">
        <w:rPr>
          <w:rFonts w:ascii="Arial" w:hAnsi="Arial" w:cs="Arial"/>
          <w:sz w:val="20"/>
          <w:szCs w:val="20"/>
        </w:rPr>
        <w:t>1.</w:t>
      </w:r>
      <w:proofErr w:type="gramEnd"/>
      <w:r w:rsidR="00115F54" w:rsidRPr="00EA245B">
        <w:rPr>
          <w:rFonts w:ascii="Arial" w:hAnsi="Arial" w:cs="Arial"/>
          <w:sz w:val="20"/>
          <w:szCs w:val="20"/>
        </w:rPr>
        <w:t xml:space="preserve"> </w:t>
      </w:r>
      <w:proofErr w:type="gramStart"/>
      <w:r w:rsidR="00115F54" w:rsidRPr="00EA245B">
        <w:rPr>
          <w:rFonts w:ascii="Arial" w:hAnsi="Arial" w:cs="Arial"/>
          <w:sz w:val="20"/>
          <w:szCs w:val="20"/>
        </w:rPr>
        <w:t>me</w:t>
      </w:r>
      <w:r w:rsidRPr="00EA245B">
        <w:rPr>
          <w:rFonts w:ascii="Arial" w:hAnsi="Arial" w:cs="Arial"/>
          <w:sz w:val="20"/>
          <w:szCs w:val="20"/>
        </w:rPr>
        <w:t>nunjuk</w:t>
      </w:r>
      <w:r w:rsidR="00115F54" w:rsidRPr="00EA245B">
        <w:rPr>
          <w:rFonts w:ascii="Arial" w:hAnsi="Arial" w:cs="Arial"/>
          <w:sz w:val="20"/>
          <w:szCs w:val="20"/>
        </w:rPr>
        <w:t>kan</w:t>
      </w:r>
      <w:proofErr w:type="gramEnd"/>
      <w:r w:rsidR="00115F54" w:rsidRPr="00EA245B">
        <w:rPr>
          <w:rFonts w:ascii="Arial" w:hAnsi="Arial" w:cs="Arial"/>
          <w:sz w:val="20"/>
          <w:szCs w:val="20"/>
        </w:rPr>
        <w:t xml:space="preserve"> karakteristik sampel pasien KNF berdasarkan jenis kelamin. Subjek penelitian terdiri atas 18 laki-laki (81</w:t>
      </w:r>
      <w:proofErr w:type="gramStart"/>
      <w:r w:rsidR="00115F54" w:rsidRPr="00EA245B">
        <w:rPr>
          <w:rFonts w:ascii="Arial" w:hAnsi="Arial" w:cs="Arial"/>
          <w:sz w:val="20"/>
          <w:szCs w:val="20"/>
        </w:rPr>
        <w:t>,82</w:t>
      </w:r>
      <w:proofErr w:type="gramEnd"/>
      <w:r w:rsidR="00115F54" w:rsidRPr="00EA245B">
        <w:rPr>
          <w:rFonts w:ascii="Arial" w:hAnsi="Arial" w:cs="Arial"/>
          <w:sz w:val="20"/>
          <w:szCs w:val="20"/>
        </w:rPr>
        <w:t xml:space="preserve">%) dan 4 perempuan (18,18%), sehingga ditemukan rasio antara laki-laki dan perempuan sebesar 4,5 : 1. </w:t>
      </w:r>
      <w:proofErr w:type="gramStart"/>
      <w:r w:rsidR="00115F54" w:rsidRPr="00EA245B">
        <w:rPr>
          <w:rFonts w:ascii="Arial" w:hAnsi="Arial" w:cs="Arial"/>
          <w:sz w:val="20"/>
          <w:szCs w:val="20"/>
        </w:rPr>
        <w:t xml:space="preserve">Rasio tersebut </w:t>
      </w:r>
      <w:r w:rsidR="008264B2" w:rsidRPr="00EA245B">
        <w:rPr>
          <w:rFonts w:ascii="Arial" w:hAnsi="Arial" w:cs="Arial"/>
          <w:sz w:val="20"/>
          <w:szCs w:val="20"/>
        </w:rPr>
        <w:t>menunjukkan</w:t>
      </w:r>
      <w:r w:rsidR="00115F54" w:rsidRPr="00EA245B">
        <w:rPr>
          <w:rFonts w:ascii="Arial" w:hAnsi="Arial" w:cs="Arial"/>
          <w:sz w:val="20"/>
          <w:szCs w:val="20"/>
        </w:rPr>
        <w:t xml:space="preserve"> bahwa insidensi KNF lebih dominan pada laki-laki.</w:t>
      </w:r>
      <w:proofErr w:type="gramEnd"/>
      <w:r w:rsidR="00115F54" w:rsidRPr="00EA245B">
        <w:rPr>
          <w:rFonts w:ascii="Arial" w:hAnsi="Arial" w:cs="Arial"/>
          <w:sz w:val="20"/>
          <w:szCs w:val="20"/>
        </w:rPr>
        <w:t xml:space="preserve"> Menurut Jemal et al. (2011), insidensi KNF terjadi lebih dominan pada kelompok laki-laki dibandingkan kelompok wanita dengan rasio 2,3 : 1 pada daerah risiko tinggi KNF </w:t>
      </w:r>
      <w:r w:rsidR="00115F54" w:rsidRPr="00EA245B">
        <w:rPr>
          <w:rFonts w:ascii="Arial" w:hAnsi="Arial" w:cs="Arial"/>
          <w:sz w:val="20"/>
          <w:szCs w:val="20"/>
        </w:rPr>
        <w:lastRenderedPageBreak/>
        <w:t>dan rasio ini akan lebih tinggi di negara ekonomi berkembang. Berdasarkan atas seluruh diagnosis KNF yang ditemukan di Yogyakarta proporsi insidensi KNF yaitu kelompok pria dan wanita adalah 2</w:t>
      </w:r>
      <w:proofErr w:type="gramStart"/>
      <w:r w:rsidR="00115F54" w:rsidRPr="00EA245B">
        <w:rPr>
          <w:rFonts w:ascii="Arial" w:hAnsi="Arial" w:cs="Arial"/>
          <w:sz w:val="20"/>
          <w:szCs w:val="20"/>
        </w:rPr>
        <w:t>,4</w:t>
      </w:r>
      <w:proofErr w:type="gramEnd"/>
      <w:r w:rsidR="00115F54" w:rsidRPr="00EA245B">
        <w:rPr>
          <w:rFonts w:ascii="Arial" w:hAnsi="Arial" w:cs="Arial"/>
          <w:sz w:val="20"/>
          <w:szCs w:val="20"/>
        </w:rPr>
        <w:t xml:space="preserve"> : 1 (Steven et al., 2006). WHO-IARC menunjukkan bahwa insidensi KNF di Indonesia dengan proporsi antara kelompok pria dan wanita adalah </w:t>
      </w:r>
      <w:proofErr w:type="gramStart"/>
      <w:r w:rsidR="00115F54" w:rsidRPr="00EA245B">
        <w:rPr>
          <w:rFonts w:ascii="Arial" w:hAnsi="Arial" w:cs="Arial"/>
          <w:sz w:val="20"/>
          <w:szCs w:val="20"/>
        </w:rPr>
        <w:t>3 :</w:t>
      </w:r>
      <w:proofErr w:type="gramEnd"/>
      <w:r w:rsidR="00115F54" w:rsidRPr="00EA245B">
        <w:rPr>
          <w:rFonts w:ascii="Arial" w:hAnsi="Arial" w:cs="Arial"/>
          <w:sz w:val="20"/>
          <w:szCs w:val="20"/>
        </w:rPr>
        <w:t xml:space="preserve"> 1 (Fles et al, 2010).</w:t>
      </w:r>
    </w:p>
    <w:p w:rsidR="008E270C" w:rsidRDefault="008E270C" w:rsidP="00A75755">
      <w:pPr>
        <w:tabs>
          <w:tab w:val="left" w:pos="426"/>
        </w:tabs>
        <w:spacing w:after="0" w:line="240" w:lineRule="auto"/>
        <w:ind w:firstLine="567"/>
        <w:jc w:val="both"/>
        <w:rPr>
          <w:rFonts w:ascii="Times New Roman" w:hAnsi="Times New Roman" w:cs="Times New Roman"/>
        </w:rPr>
      </w:pPr>
    </w:p>
    <w:p w:rsidR="00EA245B" w:rsidRDefault="00EA245B" w:rsidP="008E270C">
      <w:pPr>
        <w:tabs>
          <w:tab w:val="left" w:pos="426"/>
        </w:tabs>
        <w:spacing w:after="0" w:line="240" w:lineRule="auto"/>
        <w:jc w:val="both"/>
        <w:rPr>
          <w:rFonts w:ascii="Times New Roman" w:hAnsi="Times New Roman" w:cs="Times New Roman"/>
          <w:b/>
        </w:rPr>
        <w:sectPr w:rsidR="00EA245B" w:rsidSect="00B8572A">
          <w:type w:val="continuous"/>
          <w:pgSz w:w="12240" w:h="15840"/>
          <w:pgMar w:top="1418" w:right="1418" w:bottom="1418" w:left="2268" w:header="720" w:footer="720" w:gutter="0"/>
          <w:cols w:num="2" w:space="720"/>
          <w:docGrid w:linePitch="360"/>
        </w:sectPr>
      </w:pPr>
    </w:p>
    <w:p w:rsidR="00EA245B" w:rsidRDefault="00EA245B" w:rsidP="008E270C">
      <w:pPr>
        <w:tabs>
          <w:tab w:val="left" w:pos="426"/>
        </w:tabs>
        <w:spacing w:after="0" w:line="240" w:lineRule="auto"/>
        <w:jc w:val="both"/>
        <w:rPr>
          <w:rFonts w:ascii="Times New Roman" w:hAnsi="Times New Roman" w:cs="Times New Roman"/>
          <w:b/>
          <w:lang w:val="id-ID"/>
        </w:rPr>
      </w:pPr>
    </w:p>
    <w:p w:rsidR="008E270C" w:rsidRPr="0004404F" w:rsidRDefault="008E270C" w:rsidP="00EA245B">
      <w:pPr>
        <w:tabs>
          <w:tab w:val="left" w:pos="426"/>
        </w:tabs>
        <w:spacing w:after="0" w:line="240" w:lineRule="auto"/>
        <w:jc w:val="center"/>
        <w:rPr>
          <w:rFonts w:ascii="Times New Roman" w:hAnsi="Times New Roman" w:cs="Times New Roman"/>
          <w:b/>
        </w:rPr>
      </w:pPr>
      <w:proofErr w:type="gramStart"/>
      <w:r w:rsidRPr="0004404F">
        <w:rPr>
          <w:rFonts w:ascii="Times New Roman" w:hAnsi="Times New Roman" w:cs="Times New Roman"/>
          <w:b/>
        </w:rPr>
        <w:t>Tabel 2.</w:t>
      </w:r>
      <w:proofErr w:type="gramEnd"/>
      <w:r w:rsidRPr="0004404F">
        <w:rPr>
          <w:rFonts w:ascii="Times New Roman" w:hAnsi="Times New Roman" w:cs="Times New Roman"/>
          <w:b/>
        </w:rPr>
        <w:t xml:space="preserve"> Karakteristik kebiasaan hidup pasien KNF</w:t>
      </w:r>
    </w:p>
    <w:tbl>
      <w:tblPr>
        <w:tblW w:w="4111" w:type="dxa"/>
        <w:jc w:val="center"/>
        <w:tblInd w:w="108" w:type="dxa"/>
        <w:tblBorders>
          <w:top w:val="single" w:sz="4" w:space="0" w:color="auto"/>
          <w:bottom w:val="single" w:sz="4" w:space="0" w:color="auto"/>
        </w:tblBorders>
        <w:tblLook w:val="04A0" w:firstRow="1" w:lastRow="0" w:firstColumn="1" w:lastColumn="0" w:noHBand="0" w:noVBand="1"/>
      </w:tblPr>
      <w:tblGrid>
        <w:gridCol w:w="1865"/>
        <w:gridCol w:w="1254"/>
        <w:gridCol w:w="1097"/>
      </w:tblGrid>
      <w:tr w:rsidR="008E270C" w:rsidRPr="00E25EB5" w:rsidTr="00EA245B">
        <w:trPr>
          <w:trHeight w:val="227"/>
          <w:jc w:val="center"/>
        </w:trPr>
        <w:tc>
          <w:tcPr>
            <w:tcW w:w="1865" w:type="dxa"/>
            <w:tcBorders>
              <w:top w:val="single" w:sz="4" w:space="0" w:color="auto"/>
              <w:bottom w:val="single" w:sz="4" w:space="0" w:color="auto"/>
            </w:tcBorders>
            <w:shd w:val="clear" w:color="auto" w:fill="FFFF00"/>
            <w:noWrap/>
            <w:vAlign w:val="bottom"/>
            <w:hideMark/>
          </w:tcPr>
          <w:p w:rsidR="008E270C" w:rsidRPr="00E25EB5" w:rsidRDefault="008E270C" w:rsidP="00A57ADA">
            <w:pPr>
              <w:spacing w:after="0" w:line="240" w:lineRule="auto"/>
              <w:ind w:left="-108"/>
              <w:jc w:val="center"/>
              <w:rPr>
                <w:rFonts w:ascii="Times New Roman" w:eastAsia="Times New Roman" w:hAnsi="Times New Roman" w:cs="Times New Roman"/>
                <w:b/>
                <w:sz w:val="20"/>
                <w:szCs w:val="20"/>
              </w:rPr>
            </w:pPr>
            <w:r w:rsidRPr="00E25EB5">
              <w:rPr>
                <w:rFonts w:ascii="Times New Roman" w:eastAsia="Times New Roman" w:hAnsi="Times New Roman" w:cs="Times New Roman"/>
                <w:b/>
                <w:sz w:val="20"/>
                <w:szCs w:val="20"/>
              </w:rPr>
              <w:t>Kebiasaan Hidup</w:t>
            </w:r>
          </w:p>
        </w:tc>
        <w:tc>
          <w:tcPr>
            <w:tcW w:w="1254" w:type="dxa"/>
            <w:tcBorders>
              <w:top w:val="single" w:sz="4" w:space="0" w:color="auto"/>
              <w:bottom w:val="single" w:sz="4" w:space="0" w:color="auto"/>
            </w:tcBorders>
            <w:shd w:val="clear" w:color="auto" w:fill="FFFF00"/>
            <w:noWrap/>
            <w:vAlign w:val="bottom"/>
            <w:hideMark/>
          </w:tcPr>
          <w:p w:rsidR="008E270C" w:rsidRPr="00E25EB5" w:rsidRDefault="008E270C" w:rsidP="00A57ADA">
            <w:pPr>
              <w:spacing w:after="0" w:line="240" w:lineRule="auto"/>
              <w:ind w:left="-108"/>
              <w:jc w:val="center"/>
              <w:rPr>
                <w:rFonts w:ascii="Times New Roman" w:eastAsia="Times New Roman" w:hAnsi="Times New Roman" w:cs="Times New Roman"/>
                <w:b/>
                <w:sz w:val="20"/>
                <w:szCs w:val="20"/>
              </w:rPr>
            </w:pPr>
            <w:r w:rsidRPr="00E25EB5">
              <w:rPr>
                <w:rFonts w:ascii="Times New Roman" w:eastAsia="Times New Roman" w:hAnsi="Times New Roman" w:cs="Times New Roman"/>
                <w:b/>
                <w:sz w:val="20"/>
                <w:szCs w:val="20"/>
              </w:rPr>
              <w:t>Laki-laki</w:t>
            </w:r>
          </w:p>
        </w:tc>
        <w:tc>
          <w:tcPr>
            <w:tcW w:w="992" w:type="dxa"/>
            <w:tcBorders>
              <w:top w:val="single" w:sz="4" w:space="0" w:color="auto"/>
              <w:bottom w:val="single" w:sz="4" w:space="0" w:color="auto"/>
            </w:tcBorders>
            <w:shd w:val="clear" w:color="auto" w:fill="FFFF00"/>
            <w:noWrap/>
            <w:vAlign w:val="bottom"/>
            <w:hideMark/>
          </w:tcPr>
          <w:p w:rsidR="008E270C" w:rsidRPr="00E25EB5" w:rsidRDefault="008E270C" w:rsidP="00A57ADA">
            <w:pPr>
              <w:spacing w:after="0" w:line="240" w:lineRule="auto"/>
              <w:ind w:left="-108"/>
              <w:jc w:val="center"/>
              <w:rPr>
                <w:rFonts w:ascii="Times New Roman" w:eastAsia="Times New Roman" w:hAnsi="Times New Roman" w:cs="Times New Roman"/>
                <w:b/>
                <w:sz w:val="20"/>
                <w:szCs w:val="20"/>
              </w:rPr>
            </w:pPr>
            <w:r w:rsidRPr="00E25EB5">
              <w:rPr>
                <w:rFonts w:ascii="Times New Roman" w:eastAsia="Times New Roman" w:hAnsi="Times New Roman" w:cs="Times New Roman"/>
                <w:b/>
                <w:sz w:val="20"/>
                <w:szCs w:val="20"/>
              </w:rPr>
              <w:t>Perempuan</w:t>
            </w:r>
          </w:p>
        </w:tc>
      </w:tr>
      <w:tr w:rsidR="008E270C" w:rsidRPr="00E25EB5" w:rsidTr="00EA245B">
        <w:trPr>
          <w:trHeight w:val="227"/>
          <w:jc w:val="center"/>
        </w:trPr>
        <w:tc>
          <w:tcPr>
            <w:tcW w:w="1865" w:type="dxa"/>
            <w:tcBorders>
              <w:top w:val="single" w:sz="4" w:space="0" w:color="auto"/>
            </w:tcBorders>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Merokok</w:t>
            </w:r>
          </w:p>
        </w:tc>
        <w:tc>
          <w:tcPr>
            <w:tcW w:w="1254" w:type="dxa"/>
            <w:tcBorders>
              <w:top w:val="single" w:sz="4" w:space="0" w:color="auto"/>
            </w:tcBorders>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9 (40</w:t>
            </w:r>
            <w:proofErr w:type="gramStart"/>
            <w:r w:rsidRPr="00E25EB5">
              <w:rPr>
                <w:rFonts w:ascii="Times New Roman" w:eastAsia="Times New Roman" w:hAnsi="Times New Roman" w:cs="Times New Roman"/>
                <w:sz w:val="20"/>
                <w:szCs w:val="20"/>
              </w:rPr>
              <w:t>,91</w:t>
            </w:r>
            <w:proofErr w:type="gramEnd"/>
            <w:r w:rsidRPr="00E25EB5">
              <w:rPr>
                <w:rFonts w:ascii="Times New Roman" w:eastAsia="Times New Roman" w:hAnsi="Times New Roman" w:cs="Times New Roman"/>
                <w:sz w:val="20"/>
                <w:szCs w:val="20"/>
              </w:rPr>
              <w:t>%)</w:t>
            </w:r>
          </w:p>
        </w:tc>
        <w:tc>
          <w:tcPr>
            <w:tcW w:w="992" w:type="dxa"/>
            <w:tcBorders>
              <w:top w:val="single" w:sz="4" w:space="0" w:color="auto"/>
            </w:tcBorders>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1 (4</w:t>
            </w:r>
            <w:proofErr w:type="gramStart"/>
            <w:r w:rsidRPr="00E25EB5">
              <w:rPr>
                <w:rFonts w:ascii="Times New Roman" w:eastAsia="Times New Roman" w:hAnsi="Times New Roman" w:cs="Times New Roman"/>
                <w:sz w:val="20"/>
                <w:szCs w:val="20"/>
              </w:rPr>
              <w:t>,55</w:t>
            </w:r>
            <w:proofErr w:type="gramEnd"/>
            <w:r w:rsidRPr="00E25EB5">
              <w:rPr>
                <w:rFonts w:ascii="Times New Roman" w:eastAsia="Times New Roman" w:hAnsi="Times New Roman" w:cs="Times New Roman"/>
                <w:sz w:val="20"/>
                <w:szCs w:val="20"/>
              </w:rPr>
              <w:t>%)</w:t>
            </w:r>
          </w:p>
        </w:tc>
      </w:tr>
      <w:tr w:rsidR="008E270C" w:rsidRPr="00E25EB5" w:rsidTr="00EA245B">
        <w:trPr>
          <w:trHeight w:val="227"/>
          <w:jc w:val="center"/>
        </w:trPr>
        <w:tc>
          <w:tcPr>
            <w:tcW w:w="1865" w:type="dxa"/>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Terpajan asap</w:t>
            </w:r>
          </w:p>
        </w:tc>
        <w:tc>
          <w:tcPr>
            <w:tcW w:w="1254" w:type="dxa"/>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10 (45</w:t>
            </w:r>
            <w:proofErr w:type="gramStart"/>
            <w:r w:rsidRPr="00E25EB5">
              <w:rPr>
                <w:rFonts w:ascii="Times New Roman" w:eastAsia="Times New Roman" w:hAnsi="Times New Roman" w:cs="Times New Roman"/>
                <w:sz w:val="20"/>
                <w:szCs w:val="20"/>
              </w:rPr>
              <w:t>,45</w:t>
            </w:r>
            <w:proofErr w:type="gramEnd"/>
            <w:r w:rsidRPr="00E25EB5">
              <w:rPr>
                <w:rFonts w:ascii="Times New Roman" w:eastAsia="Times New Roman" w:hAnsi="Times New Roman" w:cs="Times New Roman"/>
                <w:sz w:val="20"/>
                <w:szCs w:val="20"/>
              </w:rPr>
              <w:t>%)</w:t>
            </w:r>
          </w:p>
        </w:tc>
        <w:tc>
          <w:tcPr>
            <w:tcW w:w="992" w:type="dxa"/>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2 (9</w:t>
            </w:r>
            <w:proofErr w:type="gramStart"/>
            <w:r w:rsidRPr="00E25EB5">
              <w:rPr>
                <w:rFonts w:ascii="Times New Roman" w:eastAsia="Times New Roman" w:hAnsi="Times New Roman" w:cs="Times New Roman"/>
                <w:sz w:val="20"/>
                <w:szCs w:val="20"/>
              </w:rPr>
              <w:t>,09</w:t>
            </w:r>
            <w:proofErr w:type="gramEnd"/>
            <w:r w:rsidRPr="00E25EB5">
              <w:rPr>
                <w:rFonts w:ascii="Times New Roman" w:eastAsia="Times New Roman" w:hAnsi="Times New Roman" w:cs="Times New Roman"/>
                <w:sz w:val="20"/>
                <w:szCs w:val="20"/>
              </w:rPr>
              <w:t>%)</w:t>
            </w:r>
          </w:p>
        </w:tc>
      </w:tr>
      <w:tr w:rsidR="008E270C" w:rsidRPr="00E25EB5" w:rsidTr="00EA245B">
        <w:trPr>
          <w:trHeight w:val="227"/>
          <w:jc w:val="center"/>
        </w:trPr>
        <w:tc>
          <w:tcPr>
            <w:tcW w:w="1865" w:type="dxa"/>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lastRenderedPageBreak/>
              <w:t>Terpajan debu</w:t>
            </w:r>
          </w:p>
        </w:tc>
        <w:tc>
          <w:tcPr>
            <w:tcW w:w="1254" w:type="dxa"/>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11 (</w:t>
            </w:r>
            <w:proofErr w:type="gramStart"/>
            <w:r w:rsidRPr="00E25EB5">
              <w:rPr>
                <w:rFonts w:ascii="Times New Roman" w:eastAsia="Times New Roman" w:hAnsi="Times New Roman" w:cs="Times New Roman"/>
                <w:sz w:val="20"/>
                <w:szCs w:val="20"/>
              </w:rPr>
              <w:t>50%</w:t>
            </w:r>
            <w:proofErr w:type="gramEnd"/>
            <w:r w:rsidRPr="00E25EB5">
              <w:rPr>
                <w:rFonts w:ascii="Times New Roman" w:eastAsia="Times New Roman" w:hAnsi="Times New Roman" w:cs="Times New Roman"/>
                <w:sz w:val="20"/>
                <w:szCs w:val="20"/>
              </w:rPr>
              <w:t>%)</w:t>
            </w:r>
          </w:p>
        </w:tc>
        <w:tc>
          <w:tcPr>
            <w:tcW w:w="992" w:type="dxa"/>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0 (0%)</w:t>
            </w:r>
          </w:p>
        </w:tc>
      </w:tr>
      <w:tr w:rsidR="008E270C" w:rsidRPr="00E25EB5" w:rsidTr="00EA245B">
        <w:trPr>
          <w:trHeight w:val="227"/>
          <w:jc w:val="center"/>
        </w:trPr>
        <w:tc>
          <w:tcPr>
            <w:tcW w:w="1865" w:type="dxa"/>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Terpajan bahan kimia</w:t>
            </w:r>
          </w:p>
        </w:tc>
        <w:tc>
          <w:tcPr>
            <w:tcW w:w="1254" w:type="dxa"/>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1 (4</w:t>
            </w:r>
            <w:proofErr w:type="gramStart"/>
            <w:r w:rsidRPr="00E25EB5">
              <w:rPr>
                <w:rFonts w:ascii="Times New Roman" w:eastAsia="Times New Roman" w:hAnsi="Times New Roman" w:cs="Times New Roman"/>
                <w:sz w:val="20"/>
                <w:szCs w:val="20"/>
              </w:rPr>
              <w:t>,55</w:t>
            </w:r>
            <w:proofErr w:type="gramEnd"/>
            <w:r w:rsidRPr="00E25EB5">
              <w:rPr>
                <w:rFonts w:ascii="Times New Roman" w:eastAsia="Times New Roman" w:hAnsi="Times New Roman" w:cs="Times New Roman"/>
                <w:sz w:val="20"/>
                <w:szCs w:val="20"/>
              </w:rPr>
              <w:t>%)</w:t>
            </w:r>
          </w:p>
        </w:tc>
        <w:tc>
          <w:tcPr>
            <w:tcW w:w="992" w:type="dxa"/>
            <w:shd w:val="clear" w:color="auto" w:fill="auto"/>
            <w:noWrap/>
            <w:vAlign w:val="bottom"/>
            <w:hideMark/>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1 (4</w:t>
            </w:r>
            <w:proofErr w:type="gramStart"/>
            <w:r w:rsidRPr="00E25EB5">
              <w:rPr>
                <w:rFonts w:ascii="Times New Roman" w:eastAsia="Times New Roman" w:hAnsi="Times New Roman" w:cs="Times New Roman"/>
                <w:sz w:val="20"/>
                <w:szCs w:val="20"/>
              </w:rPr>
              <w:t>,55</w:t>
            </w:r>
            <w:proofErr w:type="gramEnd"/>
            <w:r w:rsidRPr="00E25EB5">
              <w:rPr>
                <w:rFonts w:ascii="Times New Roman" w:eastAsia="Times New Roman" w:hAnsi="Times New Roman" w:cs="Times New Roman"/>
                <w:sz w:val="20"/>
                <w:szCs w:val="20"/>
              </w:rPr>
              <w:t>%)</w:t>
            </w:r>
          </w:p>
        </w:tc>
      </w:tr>
      <w:tr w:rsidR="008E270C" w:rsidRPr="00E25EB5" w:rsidTr="00EA245B">
        <w:trPr>
          <w:trHeight w:val="227"/>
          <w:jc w:val="center"/>
        </w:trPr>
        <w:tc>
          <w:tcPr>
            <w:tcW w:w="1865" w:type="dxa"/>
            <w:shd w:val="clear" w:color="auto" w:fill="auto"/>
            <w:noWrap/>
            <w:vAlign w:val="bottom"/>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Faktor genetika</w:t>
            </w:r>
          </w:p>
        </w:tc>
        <w:tc>
          <w:tcPr>
            <w:tcW w:w="1254" w:type="dxa"/>
            <w:shd w:val="clear" w:color="auto" w:fill="auto"/>
            <w:noWrap/>
            <w:vAlign w:val="bottom"/>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3 (13</w:t>
            </w:r>
            <w:proofErr w:type="gramStart"/>
            <w:r w:rsidRPr="00E25EB5">
              <w:rPr>
                <w:rFonts w:ascii="Times New Roman" w:eastAsia="Times New Roman" w:hAnsi="Times New Roman" w:cs="Times New Roman"/>
                <w:sz w:val="20"/>
                <w:szCs w:val="20"/>
              </w:rPr>
              <w:t>,64</w:t>
            </w:r>
            <w:proofErr w:type="gramEnd"/>
            <w:r w:rsidRPr="00E25EB5">
              <w:rPr>
                <w:rFonts w:ascii="Times New Roman" w:eastAsia="Times New Roman" w:hAnsi="Times New Roman" w:cs="Times New Roman"/>
                <w:sz w:val="20"/>
                <w:szCs w:val="20"/>
              </w:rPr>
              <w:t>%)</w:t>
            </w:r>
          </w:p>
        </w:tc>
        <w:tc>
          <w:tcPr>
            <w:tcW w:w="992" w:type="dxa"/>
            <w:shd w:val="clear" w:color="auto" w:fill="auto"/>
            <w:noWrap/>
            <w:vAlign w:val="bottom"/>
          </w:tcPr>
          <w:p w:rsidR="008E270C" w:rsidRPr="00E25EB5" w:rsidRDefault="008E270C" w:rsidP="00A57ADA">
            <w:pPr>
              <w:spacing w:after="0" w:line="240" w:lineRule="auto"/>
              <w:ind w:left="-108"/>
              <w:rPr>
                <w:rFonts w:ascii="Times New Roman" w:eastAsia="Times New Roman" w:hAnsi="Times New Roman" w:cs="Times New Roman"/>
                <w:sz w:val="20"/>
                <w:szCs w:val="20"/>
              </w:rPr>
            </w:pPr>
            <w:r w:rsidRPr="00E25EB5">
              <w:rPr>
                <w:rFonts w:ascii="Times New Roman" w:eastAsia="Times New Roman" w:hAnsi="Times New Roman" w:cs="Times New Roman"/>
                <w:sz w:val="20"/>
                <w:szCs w:val="20"/>
              </w:rPr>
              <w:t>1 (4</w:t>
            </w:r>
            <w:proofErr w:type="gramStart"/>
            <w:r w:rsidRPr="00E25EB5">
              <w:rPr>
                <w:rFonts w:ascii="Times New Roman" w:eastAsia="Times New Roman" w:hAnsi="Times New Roman" w:cs="Times New Roman"/>
                <w:sz w:val="20"/>
                <w:szCs w:val="20"/>
              </w:rPr>
              <w:t>,55</w:t>
            </w:r>
            <w:proofErr w:type="gramEnd"/>
            <w:r w:rsidRPr="00E25EB5">
              <w:rPr>
                <w:rFonts w:ascii="Times New Roman" w:eastAsia="Times New Roman" w:hAnsi="Times New Roman" w:cs="Times New Roman"/>
                <w:sz w:val="20"/>
                <w:szCs w:val="20"/>
              </w:rPr>
              <w:t>%)</w:t>
            </w:r>
          </w:p>
        </w:tc>
      </w:tr>
    </w:tbl>
    <w:p w:rsidR="008E270C" w:rsidRPr="0004404F" w:rsidRDefault="008E270C" w:rsidP="00A75755">
      <w:pPr>
        <w:tabs>
          <w:tab w:val="left" w:pos="426"/>
        </w:tabs>
        <w:spacing w:after="0" w:line="240" w:lineRule="auto"/>
        <w:ind w:firstLine="567"/>
        <w:jc w:val="both"/>
        <w:rPr>
          <w:rFonts w:ascii="Times New Roman" w:hAnsi="Times New Roman" w:cs="Times New Roman"/>
        </w:rPr>
      </w:pPr>
    </w:p>
    <w:p w:rsidR="00EA245B" w:rsidRDefault="00EA245B" w:rsidP="00A75755">
      <w:pPr>
        <w:tabs>
          <w:tab w:val="left" w:pos="426"/>
        </w:tabs>
        <w:spacing w:after="0" w:line="240" w:lineRule="auto"/>
        <w:ind w:firstLine="567"/>
        <w:jc w:val="both"/>
        <w:rPr>
          <w:rFonts w:ascii="Times New Roman" w:hAnsi="Times New Roman" w:cs="Times New Roman"/>
        </w:rPr>
        <w:sectPr w:rsidR="00EA245B" w:rsidSect="00EA245B">
          <w:type w:val="continuous"/>
          <w:pgSz w:w="12240" w:h="15840"/>
          <w:pgMar w:top="1418" w:right="1418" w:bottom="1418" w:left="2268" w:header="720" w:footer="720" w:gutter="0"/>
          <w:cols w:space="720"/>
          <w:docGrid w:linePitch="360"/>
        </w:sectPr>
      </w:pPr>
    </w:p>
    <w:p w:rsidR="00115F54" w:rsidRPr="00EA245B" w:rsidRDefault="00115F54" w:rsidP="00EA245B">
      <w:pPr>
        <w:autoSpaceDE w:val="0"/>
        <w:autoSpaceDN w:val="0"/>
        <w:adjustRightInd w:val="0"/>
        <w:spacing w:after="0" w:line="240" w:lineRule="auto"/>
        <w:ind w:firstLine="426"/>
        <w:jc w:val="both"/>
        <w:rPr>
          <w:rFonts w:ascii="Arial" w:hAnsi="Arial" w:cs="Arial"/>
          <w:sz w:val="20"/>
          <w:szCs w:val="20"/>
        </w:rPr>
      </w:pPr>
      <w:proofErr w:type="gramStart"/>
      <w:r w:rsidRPr="00EA245B">
        <w:rPr>
          <w:rFonts w:ascii="Arial" w:hAnsi="Arial" w:cs="Arial"/>
          <w:sz w:val="20"/>
          <w:szCs w:val="20"/>
        </w:rPr>
        <w:lastRenderedPageBreak/>
        <w:t>Banyaknya persentase laki-laki dibandingkan perempuan disebabkan oleh kebiasaan hidup yang berbeda antara laki-laki dan perempuan</w:t>
      </w:r>
      <w:r w:rsidR="0004404F" w:rsidRPr="00EA245B">
        <w:rPr>
          <w:rFonts w:ascii="Arial" w:hAnsi="Arial" w:cs="Arial"/>
          <w:sz w:val="20"/>
          <w:szCs w:val="20"/>
        </w:rPr>
        <w:t>,</w:t>
      </w:r>
      <w:r w:rsidRPr="00EA245B">
        <w:rPr>
          <w:rFonts w:ascii="Arial" w:hAnsi="Arial" w:cs="Arial"/>
          <w:sz w:val="20"/>
          <w:szCs w:val="20"/>
        </w:rPr>
        <w:t xml:space="preserve"> seperti merokok dan </w:t>
      </w:r>
      <w:r w:rsidR="008264B2" w:rsidRPr="00EA245B">
        <w:rPr>
          <w:rFonts w:ascii="Arial" w:hAnsi="Arial" w:cs="Arial"/>
          <w:sz w:val="20"/>
          <w:szCs w:val="20"/>
        </w:rPr>
        <w:t>me</w:t>
      </w:r>
      <w:r w:rsidRPr="00EA245B">
        <w:rPr>
          <w:rFonts w:ascii="Arial" w:hAnsi="Arial" w:cs="Arial"/>
          <w:sz w:val="20"/>
          <w:szCs w:val="20"/>
        </w:rPr>
        <w:t>minum alkohol</w:t>
      </w:r>
      <w:r w:rsidR="0004404F" w:rsidRPr="00EA245B">
        <w:rPr>
          <w:rFonts w:ascii="Arial" w:hAnsi="Arial" w:cs="Arial"/>
          <w:sz w:val="20"/>
          <w:szCs w:val="20"/>
        </w:rPr>
        <w:t xml:space="preserve"> </w:t>
      </w:r>
      <w:r w:rsidRPr="00EA245B">
        <w:rPr>
          <w:rFonts w:ascii="Arial" w:hAnsi="Arial" w:cs="Arial"/>
          <w:sz w:val="20"/>
          <w:szCs w:val="20"/>
        </w:rPr>
        <w:t>(Kenway et al., 2004).</w:t>
      </w:r>
      <w:proofErr w:type="gramEnd"/>
      <w:r w:rsidRPr="00EA245B">
        <w:rPr>
          <w:rFonts w:ascii="Arial" w:hAnsi="Arial" w:cs="Arial"/>
          <w:sz w:val="20"/>
          <w:szCs w:val="20"/>
        </w:rPr>
        <w:t xml:space="preserve"> Pada penelitian ini, 9 (40</w:t>
      </w:r>
      <w:proofErr w:type="gramStart"/>
      <w:r w:rsidRPr="00EA245B">
        <w:rPr>
          <w:rFonts w:ascii="Arial" w:hAnsi="Arial" w:cs="Arial"/>
          <w:sz w:val="20"/>
          <w:szCs w:val="20"/>
        </w:rPr>
        <w:t>,91</w:t>
      </w:r>
      <w:proofErr w:type="gramEnd"/>
      <w:r w:rsidRPr="00EA245B">
        <w:rPr>
          <w:rFonts w:ascii="Arial" w:hAnsi="Arial" w:cs="Arial"/>
          <w:sz w:val="20"/>
          <w:szCs w:val="20"/>
        </w:rPr>
        <w:t>%) pasien laki-laki dan 1 (4,55%) pasien perempuan merupaka</w:t>
      </w:r>
      <w:r w:rsidR="0004404F" w:rsidRPr="00EA245B">
        <w:rPr>
          <w:rFonts w:ascii="Arial" w:hAnsi="Arial" w:cs="Arial"/>
          <w:sz w:val="20"/>
          <w:szCs w:val="20"/>
        </w:rPr>
        <w:t>n</w:t>
      </w:r>
      <w:r w:rsidRPr="00EA245B">
        <w:rPr>
          <w:rFonts w:ascii="Arial" w:hAnsi="Arial" w:cs="Arial"/>
          <w:sz w:val="20"/>
          <w:szCs w:val="20"/>
        </w:rPr>
        <w:t xml:space="preserve"> perokok. Menurut Hsu et al. (2009), rokok mempunyai lebih dari 4000 bahan karsinogenik, termasuk nitrosamin yang meningkatkan risiko terkena </w:t>
      </w:r>
      <w:r w:rsidR="008264B2" w:rsidRPr="00EA245B">
        <w:rPr>
          <w:rFonts w:ascii="Arial" w:hAnsi="Arial" w:cs="Arial"/>
          <w:sz w:val="20"/>
          <w:szCs w:val="20"/>
        </w:rPr>
        <w:t>KNF</w:t>
      </w:r>
      <w:r w:rsidRPr="00EA245B">
        <w:rPr>
          <w:rFonts w:ascii="Arial" w:hAnsi="Arial" w:cs="Arial"/>
          <w:sz w:val="20"/>
          <w:szCs w:val="20"/>
        </w:rPr>
        <w:t xml:space="preserve">. </w:t>
      </w:r>
      <w:proofErr w:type="gramStart"/>
      <w:r w:rsidR="008264B2" w:rsidRPr="00EA245B">
        <w:rPr>
          <w:rFonts w:ascii="Arial" w:hAnsi="Arial" w:cs="Arial"/>
          <w:sz w:val="20"/>
          <w:szCs w:val="20"/>
        </w:rPr>
        <w:t>M</w:t>
      </w:r>
      <w:r w:rsidRPr="00EA245B">
        <w:rPr>
          <w:rFonts w:ascii="Arial" w:hAnsi="Arial" w:cs="Arial"/>
          <w:sz w:val="20"/>
          <w:szCs w:val="20"/>
        </w:rPr>
        <w:t xml:space="preserve">erokok </w:t>
      </w:r>
      <w:r w:rsidR="008264B2" w:rsidRPr="00EA245B">
        <w:rPr>
          <w:rFonts w:ascii="Arial" w:hAnsi="Arial" w:cs="Arial"/>
          <w:sz w:val="20"/>
          <w:szCs w:val="20"/>
        </w:rPr>
        <w:t xml:space="preserve">dapat </w:t>
      </w:r>
      <w:r w:rsidRPr="00EA245B">
        <w:rPr>
          <w:rFonts w:ascii="Arial" w:hAnsi="Arial" w:cs="Arial"/>
          <w:sz w:val="20"/>
          <w:szCs w:val="20"/>
        </w:rPr>
        <w:t xml:space="preserve">meningkatkan risiko </w:t>
      </w:r>
      <w:r w:rsidR="008264B2" w:rsidRPr="00EA245B">
        <w:rPr>
          <w:rFonts w:ascii="Arial" w:hAnsi="Arial" w:cs="Arial"/>
          <w:sz w:val="20"/>
          <w:szCs w:val="20"/>
        </w:rPr>
        <w:t>KNF sebanyak 2-</w:t>
      </w:r>
      <w:r w:rsidRPr="00EA245B">
        <w:rPr>
          <w:rFonts w:ascii="Arial" w:hAnsi="Arial" w:cs="Arial"/>
          <w:sz w:val="20"/>
          <w:szCs w:val="20"/>
        </w:rPr>
        <w:t>6 kali.</w:t>
      </w:r>
      <w:proofErr w:type="gramEnd"/>
    </w:p>
    <w:p w:rsidR="00115F54" w:rsidRPr="00EA245B" w:rsidRDefault="00115F54" w:rsidP="00EA245B">
      <w:pPr>
        <w:autoSpaceDE w:val="0"/>
        <w:autoSpaceDN w:val="0"/>
        <w:adjustRightInd w:val="0"/>
        <w:spacing w:after="0" w:line="240" w:lineRule="auto"/>
        <w:ind w:firstLine="426"/>
        <w:jc w:val="both"/>
        <w:rPr>
          <w:rFonts w:ascii="Arial" w:hAnsi="Arial" w:cs="Arial"/>
          <w:sz w:val="20"/>
          <w:szCs w:val="20"/>
        </w:rPr>
      </w:pPr>
      <w:proofErr w:type="gramStart"/>
      <w:r w:rsidRPr="00EA245B">
        <w:rPr>
          <w:rFonts w:ascii="Arial" w:hAnsi="Arial" w:cs="Arial"/>
          <w:sz w:val="20"/>
          <w:szCs w:val="20"/>
        </w:rPr>
        <w:t>Lebih banyaknya jumlah penderita KNF laki-laki daripada perempuan juga disebabkan laki-laki lebih sering terpapar dengan zat karsinogen di tempat mereka beraktivitas (Munir et al., 2007).</w:t>
      </w:r>
      <w:proofErr w:type="gramEnd"/>
      <w:r w:rsidRPr="00EA245B">
        <w:rPr>
          <w:rFonts w:ascii="Arial" w:hAnsi="Arial" w:cs="Arial"/>
          <w:sz w:val="20"/>
          <w:szCs w:val="20"/>
        </w:rPr>
        <w:t xml:space="preserve"> Pada penelitian ini sebanyak 10 (45</w:t>
      </w:r>
      <w:proofErr w:type="gramStart"/>
      <w:r w:rsidRPr="00EA245B">
        <w:rPr>
          <w:rFonts w:ascii="Arial" w:hAnsi="Arial" w:cs="Arial"/>
          <w:sz w:val="20"/>
          <w:szCs w:val="20"/>
        </w:rPr>
        <w:t>,45</w:t>
      </w:r>
      <w:proofErr w:type="gramEnd"/>
      <w:r w:rsidRPr="00EA245B">
        <w:rPr>
          <w:rFonts w:ascii="Arial" w:hAnsi="Arial" w:cs="Arial"/>
          <w:sz w:val="20"/>
          <w:szCs w:val="20"/>
        </w:rPr>
        <w:t>%) pasien laki-laki dan 2 (9,09%) pasien perempuan terpajan asap, 11 (50%) pasien laki-laki terpajan debu, serta 1 (4,55%) pasien laki-laki dan perempuan terpajan bahan kimia di te</w:t>
      </w:r>
      <w:r w:rsidR="00E25EB5" w:rsidRPr="00EA245B">
        <w:rPr>
          <w:rFonts w:ascii="Arial" w:hAnsi="Arial" w:cs="Arial"/>
          <w:sz w:val="20"/>
          <w:szCs w:val="20"/>
        </w:rPr>
        <w:t xml:space="preserve">mpat mereka beraktivitas (Tabel </w:t>
      </w:r>
      <w:r w:rsidRPr="00EA245B">
        <w:rPr>
          <w:rFonts w:ascii="Arial" w:hAnsi="Arial" w:cs="Arial"/>
          <w:sz w:val="20"/>
          <w:szCs w:val="20"/>
        </w:rPr>
        <w:t>2). Menurut Chang &amp; Adami (2006), pajanan pekerjaan</w:t>
      </w:r>
      <w:r w:rsidR="00E25EB5" w:rsidRPr="00EA245B">
        <w:rPr>
          <w:rFonts w:ascii="Arial" w:hAnsi="Arial" w:cs="Arial"/>
          <w:sz w:val="20"/>
          <w:szCs w:val="20"/>
        </w:rPr>
        <w:t>,</w:t>
      </w:r>
      <w:r w:rsidRPr="00EA245B">
        <w:rPr>
          <w:rFonts w:ascii="Arial" w:hAnsi="Arial" w:cs="Arial"/>
          <w:sz w:val="20"/>
          <w:szCs w:val="20"/>
        </w:rPr>
        <w:t xml:space="preserve"> </w:t>
      </w:r>
      <w:r w:rsidR="00E25EB5" w:rsidRPr="00EA245B">
        <w:rPr>
          <w:rFonts w:ascii="Arial" w:hAnsi="Arial" w:cs="Arial"/>
          <w:sz w:val="20"/>
          <w:szCs w:val="20"/>
        </w:rPr>
        <w:t>seperti</w:t>
      </w:r>
      <w:r w:rsidRPr="00EA245B">
        <w:rPr>
          <w:rFonts w:ascii="Arial" w:hAnsi="Arial" w:cs="Arial"/>
          <w:sz w:val="20"/>
          <w:szCs w:val="20"/>
        </w:rPr>
        <w:t xml:space="preserve"> </w:t>
      </w:r>
      <w:r w:rsidRPr="00EA245B">
        <w:rPr>
          <w:rFonts w:ascii="Arial" w:hAnsi="Arial" w:cs="Arial"/>
          <w:i/>
          <w:sz w:val="20"/>
          <w:szCs w:val="20"/>
        </w:rPr>
        <w:t>fume</w:t>
      </w:r>
      <w:r w:rsidRPr="00EA245B">
        <w:rPr>
          <w:rFonts w:ascii="Arial" w:hAnsi="Arial" w:cs="Arial"/>
          <w:sz w:val="20"/>
          <w:szCs w:val="20"/>
        </w:rPr>
        <w:t xml:space="preserve">, </w:t>
      </w:r>
      <w:proofErr w:type="gramStart"/>
      <w:r w:rsidRPr="00EA245B">
        <w:rPr>
          <w:rFonts w:ascii="Arial" w:hAnsi="Arial" w:cs="Arial"/>
          <w:sz w:val="20"/>
          <w:szCs w:val="20"/>
        </w:rPr>
        <w:t>asap</w:t>
      </w:r>
      <w:proofErr w:type="gramEnd"/>
      <w:r w:rsidRPr="00EA245B">
        <w:rPr>
          <w:rFonts w:ascii="Arial" w:hAnsi="Arial" w:cs="Arial"/>
          <w:sz w:val="20"/>
          <w:szCs w:val="20"/>
        </w:rPr>
        <w:t xml:space="preserve">, debu atau bahan kimia lain meningkatkan risiko </w:t>
      </w:r>
      <w:r w:rsidR="008264B2" w:rsidRPr="00EA245B">
        <w:rPr>
          <w:rFonts w:ascii="Arial" w:hAnsi="Arial" w:cs="Arial"/>
          <w:sz w:val="20"/>
          <w:szCs w:val="20"/>
        </w:rPr>
        <w:t>KNF 2-</w:t>
      </w:r>
      <w:r w:rsidRPr="00EA245B">
        <w:rPr>
          <w:rFonts w:ascii="Arial" w:hAnsi="Arial" w:cs="Arial"/>
          <w:sz w:val="20"/>
          <w:szCs w:val="20"/>
        </w:rPr>
        <w:t>6 kali lipat.</w:t>
      </w:r>
    </w:p>
    <w:p w:rsidR="00115F54" w:rsidRPr="00EA245B" w:rsidRDefault="00115F54" w:rsidP="00EA245B">
      <w:pPr>
        <w:autoSpaceDE w:val="0"/>
        <w:autoSpaceDN w:val="0"/>
        <w:adjustRightInd w:val="0"/>
        <w:spacing w:after="0" w:line="240" w:lineRule="auto"/>
        <w:ind w:firstLine="426"/>
        <w:jc w:val="both"/>
        <w:rPr>
          <w:rFonts w:ascii="Arial" w:hAnsi="Arial" w:cs="Arial"/>
          <w:sz w:val="20"/>
          <w:szCs w:val="20"/>
        </w:rPr>
      </w:pPr>
      <w:r w:rsidRPr="00EA245B">
        <w:rPr>
          <w:rFonts w:ascii="Arial" w:hAnsi="Arial" w:cs="Arial"/>
          <w:sz w:val="20"/>
          <w:szCs w:val="20"/>
        </w:rPr>
        <w:t>Sebanyak 3 (13</w:t>
      </w:r>
      <w:proofErr w:type="gramStart"/>
      <w:r w:rsidRPr="00EA245B">
        <w:rPr>
          <w:rFonts w:ascii="Arial" w:hAnsi="Arial" w:cs="Arial"/>
          <w:sz w:val="20"/>
          <w:szCs w:val="20"/>
        </w:rPr>
        <w:t>,64</w:t>
      </w:r>
      <w:proofErr w:type="gramEnd"/>
      <w:r w:rsidRPr="00EA245B">
        <w:rPr>
          <w:rFonts w:ascii="Arial" w:hAnsi="Arial" w:cs="Arial"/>
          <w:sz w:val="20"/>
          <w:szCs w:val="20"/>
        </w:rPr>
        <w:t xml:space="preserve">%) pasien laki-laki dan 1 (4,55%) pasien perempuan memiliki riwayat keluarga yang menderita </w:t>
      </w:r>
      <w:r w:rsidR="008264B2" w:rsidRPr="00EA245B">
        <w:rPr>
          <w:rFonts w:ascii="Arial" w:hAnsi="Arial" w:cs="Arial"/>
          <w:sz w:val="20"/>
          <w:szCs w:val="20"/>
        </w:rPr>
        <w:t>KNF</w:t>
      </w:r>
      <w:r w:rsidRPr="00EA245B">
        <w:rPr>
          <w:rFonts w:ascii="Arial" w:hAnsi="Arial" w:cs="Arial"/>
          <w:sz w:val="20"/>
          <w:szCs w:val="20"/>
        </w:rPr>
        <w:t xml:space="preserve">. Menurut Lutan &amp; Zachreini (1999), peningkatan risiko menderita KNF terdapat pada pasien yang mempunyai riwayat keluarga menderita </w:t>
      </w:r>
      <w:r w:rsidR="00E25EB5" w:rsidRPr="00EA245B">
        <w:rPr>
          <w:rFonts w:ascii="Arial" w:hAnsi="Arial" w:cs="Arial"/>
          <w:sz w:val="20"/>
          <w:szCs w:val="20"/>
        </w:rPr>
        <w:t>KNF</w:t>
      </w:r>
      <w:r w:rsidRPr="00EA245B">
        <w:rPr>
          <w:rFonts w:ascii="Arial" w:hAnsi="Arial" w:cs="Arial"/>
          <w:sz w:val="20"/>
          <w:szCs w:val="20"/>
        </w:rPr>
        <w:t xml:space="preserve">. </w:t>
      </w:r>
    </w:p>
    <w:p w:rsidR="008E270C" w:rsidRPr="00EA245B" w:rsidRDefault="008E270C" w:rsidP="00EA245B">
      <w:pPr>
        <w:autoSpaceDE w:val="0"/>
        <w:autoSpaceDN w:val="0"/>
        <w:adjustRightInd w:val="0"/>
        <w:spacing w:after="0" w:line="240" w:lineRule="auto"/>
        <w:ind w:firstLine="426"/>
        <w:jc w:val="both"/>
        <w:rPr>
          <w:rFonts w:ascii="Arial" w:hAnsi="Arial" w:cs="Arial"/>
          <w:sz w:val="20"/>
          <w:szCs w:val="20"/>
        </w:rPr>
      </w:pPr>
      <w:proofErr w:type="gramStart"/>
      <w:r w:rsidRPr="00EA245B">
        <w:rPr>
          <w:rFonts w:ascii="Arial" w:hAnsi="Arial" w:cs="Arial"/>
          <w:sz w:val="20"/>
          <w:szCs w:val="20"/>
        </w:rPr>
        <w:t xml:space="preserve">Faktor genetik pada </w:t>
      </w:r>
      <w:r w:rsidR="008264B2" w:rsidRPr="00EA245B">
        <w:rPr>
          <w:rFonts w:ascii="Arial" w:hAnsi="Arial" w:cs="Arial"/>
          <w:sz w:val="20"/>
          <w:szCs w:val="20"/>
        </w:rPr>
        <w:t>KNF</w:t>
      </w:r>
      <w:r w:rsidRPr="00EA245B">
        <w:rPr>
          <w:rFonts w:ascii="Arial" w:hAnsi="Arial" w:cs="Arial"/>
          <w:sz w:val="20"/>
          <w:szCs w:val="20"/>
        </w:rPr>
        <w:t xml:space="preserve"> adalah kelainan genetika pejamu.</w:t>
      </w:r>
      <w:proofErr w:type="gramEnd"/>
      <w:r w:rsidRPr="00EA245B">
        <w:rPr>
          <w:rFonts w:ascii="Arial" w:hAnsi="Arial" w:cs="Arial"/>
          <w:sz w:val="20"/>
          <w:szCs w:val="20"/>
        </w:rPr>
        <w:t xml:space="preserve"> Kelainan genetik </w:t>
      </w:r>
      <w:r w:rsidR="008264B2" w:rsidRPr="00EA245B">
        <w:rPr>
          <w:rFonts w:ascii="Arial" w:hAnsi="Arial" w:cs="Arial"/>
          <w:sz w:val="20"/>
          <w:szCs w:val="20"/>
        </w:rPr>
        <w:t>yang menjadi faktor</w:t>
      </w:r>
      <w:r w:rsidRPr="00EA245B">
        <w:rPr>
          <w:rFonts w:ascii="Arial" w:hAnsi="Arial" w:cs="Arial"/>
          <w:sz w:val="20"/>
          <w:szCs w:val="20"/>
        </w:rPr>
        <w:t xml:space="preserve"> risiko KNF </w:t>
      </w:r>
      <w:r w:rsidR="008264B2" w:rsidRPr="00EA245B">
        <w:rPr>
          <w:rFonts w:ascii="Arial" w:hAnsi="Arial" w:cs="Arial"/>
          <w:sz w:val="20"/>
          <w:szCs w:val="20"/>
        </w:rPr>
        <w:t xml:space="preserve">antara </w:t>
      </w:r>
      <w:proofErr w:type="gramStart"/>
      <w:r w:rsidR="008264B2" w:rsidRPr="00EA245B">
        <w:rPr>
          <w:rFonts w:ascii="Arial" w:hAnsi="Arial" w:cs="Arial"/>
          <w:sz w:val="20"/>
          <w:szCs w:val="20"/>
        </w:rPr>
        <w:t>lain</w:t>
      </w:r>
      <w:proofErr w:type="gramEnd"/>
      <w:r w:rsidRPr="00EA245B">
        <w:rPr>
          <w:rFonts w:ascii="Arial" w:hAnsi="Arial" w:cs="Arial"/>
          <w:sz w:val="20"/>
          <w:szCs w:val="20"/>
        </w:rPr>
        <w:t xml:space="preserve"> kelainan sitogenetika berupa aberasi kromosom, mikrodelesi kromosom, atau </w:t>
      </w:r>
      <w:r w:rsidRPr="00EA245B">
        <w:rPr>
          <w:rFonts w:ascii="Arial" w:hAnsi="Arial" w:cs="Arial"/>
          <w:sz w:val="20"/>
          <w:szCs w:val="20"/>
        </w:rPr>
        <w:lastRenderedPageBreak/>
        <w:t xml:space="preserve">metilasi DNA pada gen promotor (Barnes et al., 2005). Salah satu faktor genetik yang meningkatkan risiko KNF adalah tipe gen </w:t>
      </w:r>
      <w:r w:rsidRPr="00EA245B">
        <w:rPr>
          <w:rFonts w:ascii="Arial" w:hAnsi="Arial" w:cs="Arial"/>
          <w:i/>
          <w:sz w:val="20"/>
          <w:szCs w:val="20"/>
        </w:rPr>
        <w:t>Human Leucocyte Antigen</w:t>
      </w:r>
      <w:r w:rsidRPr="00EA245B">
        <w:rPr>
          <w:rFonts w:ascii="Arial" w:hAnsi="Arial" w:cs="Arial"/>
          <w:sz w:val="20"/>
          <w:szCs w:val="20"/>
        </w:rPr>
        <w:t xml:space="preserve"> (HLA). Gen HLA kelas I mempunyai hubungan yang konsisten dengan KNF (Ariwibowo, 2013).</w:t>
      </w:r>
    </w:p>
    <w:p w:rsidR="008E270C" w:rsidRPr="00EA245B" w:rsidRDefault="008E270C" w:rsidP="00EA245B">
      <w:pPr>
        <w:autoSpaceDE w:val="0"/>
        <w:autoSpaceDN w:val="0"/>
        <w:adjustRightInd w:val="0"/>
        <w:spacing w:after="0" w:line="240" w:lineRule="auto"/>
        <w:ind w:firstLine="426"/>
        <w:jc w:val="both"/>
        <w:rPr>
          <w:rFonts w:ascii="Arial" w:hAnsi="Arial" w:cs="Arial"/>
          <w:sz w:val="20"/>
          <w:szCs w:val="20"/>
        </w:rPr>
      </w:pPr>
      <w:r w:rsidRPr="00EA245B">
        <w:rPr>
          <w:rFonts w:ascii="Arial" w:hAnsi="Arial" w:cs="Arial"/>
          <w:sz w:val="20"/>
          <w:szCs w:val="20"/>
        </w:rPr>
        <w:t xml:space="preserve">Gen HLA mengekspresikan molekul HLA yang terdapat di permukaan sel dan sangat berperan pada sistem imun (Fachiroh et al., 2004). </w:t>
      </w:r>
      <w:proofErr w:type="gramStart"/>
      <w:r w:rsidRPr="00EA245B">
        <w:rPr>
          <w:rFonts w:ascii="Arial" w:hAnsi="Arial" w:cs="Arial"/>
          <w:sz w:val="20"/>
          <w:szCs w:val="20"/>
        </w:rPr>
        <w:t xml:space="preserve">Beberapa tipe HLA </w:t>
      </w:r>
      <w:r w:rsidR="008264B2" w:rsidRPr="00EA245B">
        <w:rPr>
          <w:rFonts w:ascii="Arial" w:hAnsi="Arial" w:cs="Arial"/>
          <w:sz w:val="20"/>
          <w:szCs w:val="20"/>
        </w:rPr>
        <w:t xml:space="preserve">yang berasosiasi dengan risiko tinggi terhadap perkembangan KNF misalnya </w:t>
      </w:r>
      <w:r w:rsidRPr="00EA245B">
        <w:rPr>
          <w:rFonts w:ascii="Arial" w:hAnsi="Arial" w:cs="Arial"/>
          <w:sz w:val="20"/>
          <w:szCs w:val="20"/>
        </w:rPr>
        <w:t>alotip HLA-A2, HLA-B17, dan HLA-B</w:t>
      </w:r>
      <w:r w:rsidR="008264B2" w:rsidRPr="00EA245B">
        <w:rPr>
          <w:rFonts w:ascii="Arial" w:hAnsi="Arial" w:cs="Arial"/>
          <w:sz w:val="20"/>
          <w:szCs w:val="20"/>
        </w:rPr>
        <w:t>46.</w:t>
      </w:r>
      <w:proofErr w:type="gramEnd"/>
      <w:r w:rsidR="008264B2" w:rsidRPr="00EA245B">
        <w:rPr>
          <w:rFonts w:ascii="Arial" w:hAnsi="Arial" w:cs="Arial"/>
          <w:sz w:val="20"/>
          <w:szCs w:val="20"/>
        </w:rPr>
        <w:t xml:space="preserve"> </w:t>
      </w:r>
      <w:r w:rsidRPr="00EA245B">
        <w:rPr>
          <w:rFonts w:ascii="Arial" w:hAnsi="Arial" w:cs="Arial"/>
          <w:sz w:val="20"/>
          <w:szCs w:val="20"/>
        </w:rPr>
        <w:t xml:space="preserve">KNF </w:t>
      </w:r>
      <w:r w:rsidR="008264B2" w:rsidRPr="00EA245B">
        <w:rPr>
          <w:rFonts w:ascii="Arial" w:hAnsi="Arial" w:cs="Arial"/>
          <w:sz w:val="20"/>
          <w:szCs w:val="20"/>
        </w:rPr>
        <w:t xml:space="preserve">teradi </w:t>
      </w:r>
      <w:r w:rsidRPr="00EA245B">
        <w:rPr>
          <w:rFonts w:ascii="Arial" w:hAnsi="Arial" w:cs="Arial"/>
          <w:sz w:val="20"/>
          <w:szCs w:val="20"/>
        </w:rPr>
        <w:t>pada individu yang mempunyai gen HLA yang memiliki kerentanan disebabkan alel gen kerentanan tidak mempresentasikan dengan baik atau mempresentasikan secara salah antigen EBV atau antigen tumor kepada sel T helper, sehingga mengakibatkan proses respon imun tidak terjadi (Stevens &amp; Rassekh, 1998).</w:t>
      </w:r>
    </w:p>
    <w:p w:rsidR="008E270C" w:rsidRPr="00EA245B" w:rsidRDefault="008E270C" w:rsidP="00EA245B">
      <w:pPr>
        <w:autoSpaceDE w:val="0"/>
        <w:autoSpaceDN w:val="0"/>
        <w:adjustRightInd w:val="0"/>
        <w:spacing w:after="0" w:line="240" w:lineRule="auto"/>
        <w:ind w:firstLine="426"/>
        <w:jc w:val="both"/>
        <w:rPr>
          <w:rFonts w:ascii="Arial" w:hAnsi="Arial" w:cs="Arial"/>
          <w:sz w:val="20"/>
          <w:szCs w:val="20"/>
        </w:rPr>
      </w:pPr>
      <w:r w:rsidRPr="00EA245B">
        <w:rPr>
          <w:rFonts w:ascii="Arial" w:hAnsi="Arial" w:cs="Arial"/>
          <w:sz w:val="20"/>
          <w:szCs w:val="20"/>
        </w:rPr>
        <w:t xml:space="preserve">Faktor genetik </w:t>
      </w:r>
      <w:proofErr w:type="gramStart"/>
      <w:r w:rsidRPr="00EA245B">
        <w:rPr>
          <w:rFonts w:ascii="Arial" w:hAnsi="Arial" w:cs="Arial"/>
          <w:sz w:val="20"/>
          <w:szCs w:val="20"/>
        </w:rPr>
        <w:t>lain</w:t>
      </w:r>
      <w:proofErr w:type="gramEnd"/>
      <w:r w:rsidRPr="00EA245B">
        <w:rPr>
          <w:rFonts w:ascii="Arial" w:hAnsi="Arial" w:cs="Arial"/>
          <w:sz w:val="20"/>
          <w:szCs w:val="20"/>
        </w:rPr>
        <w:t xml:space="preserve"> yang berkaitan dengan KNF adalah polimorfisme basa tunggal (</w:t>
      </w:r>
      <w:r w:rsidRPr="00EA245B">
        <w:rPr>
          <w:rFonts w:ascii="Arial" w:hAnsi="Arial" w:cs="Arial"/>
          <w:i/>
          <w:sz w:val="20"/>
          <w:szCs w:val="20"/>
        </w:rPr>
        <w:t>Single Nucleotide Polyomorphisms</w:t>
      </w:r>
      <w:r w:rsidRPr="00EA245B">
        <w:rPr>
          <w:rFonts w:ascii="Arial" w:hAnsi="Arial" w:cs="Arial"/>
          <w:sz w:val="20"/>
          <w:szCs w:val="20"/>
        </w:rPr>
        <w:t xml:space="preserve"> atau SNPs). Beberapa gen struktur dan gen promotor juga diketahui berasosiasi dengan patogenesis KNF, misal polimorfisme gen </w:t>
      </w:r>
      <w:r w:rsidRPr="00EA245B">
        <w:rPr>
          <w:rFonts w:ascii="Arial" w:hAnsi="Arial" w:cs="Arial"/>
          <w:i/>
          <w:sz w:val="20"/>
          <w:szCs w:val="20"/>
        </w:rPr>
        <w:t>transforming growth factor</w:t>
      </w:r>
      <w:r w:rsidRPr="00EA245B">
        <w:rPr>
          <w:rFonts w:ascii="Arial" w:hAnsi="Arial" w:cs="Arial"/>
          <w:sz w:val="20"/>
          <w:szCs w:val="20"/>
        </w:rPr>
        <w:t xml:space="preserve">-β1, gen IL-1B, </w:t>
      </w:r>
      <w:r w:rsidR="000269D0" w:rsidRPr="00EA245B">
        <w:rPr>
          <w:rFonts w:ascii="Arial" w:hAnsi="Arial" w:cs="Arial"/>
          <w:sz w:val="20"/>
          <w:szCs w:val="20"/>
        </w:rPr>
        <w:t xml:space="preserve">gen </w:t>
      </w:r>
      <w:r w:rsidR="008264B2" w:rsidRPr="00EA245B">
        <w:rPr>
          <w:rFonts w:ascii="Arial" w:hAnsi="Arial" w:cs="Arial"/>
          <w:sz w:val="20"/>
          <w:szCs w:val="20"/>
        </w:rPr>
        <w:t>IL</w:t>
      </w:r>
      <w:r w:rsidRPr="00EA245B">
        <w:rPr>
          <w:rFonts w:ascii="Arial" w:hAnsi="Arial" w:cs="Arial"/>
          <w:sz w:val="20"/>
          <w:szCs w:val="20"/>
        </w:rPr>
        <w:t xml:space="preserve">-16, </w:t>
      </w:r>
      <w:r w:rsidR="000269D0" w:rsidRPr="00EA245B">
        <w:rPr>
          <w:rFonts w:ascii="Arial" w:hAnsi="Arial" w:cs="Arial"/>
          <w:sz w:val="20"/>
          <w:szCs w:val="20"/>
        </w:rPr>
        <w:t xml:space="preserve">gen </w:t>
      </w:r>
      <w:r w:rsidR="008264B2" w:rsidRPr="00EA245B">
        <w:rPr>
          <w:rFonts w:ascii="Arial" w:hAnsi="Arial" w:cs="Arial"/>
          <w:sz w:val="20"/>
          <w:szCs w:val="20"/>
        </w:rPr>
        <w:t xml:space="preserve">IL-8, </w:t>
      </w:r>
      <w:r w:rsidR="000269D0" w:rsidRPr="00EA245B">
        <w:rPr>
          <w:rFonts w:ascii="Arial" w:hAnsi="Arial" w:cs="Arial"/>
          <w:sz w:val="20"/>
          <w:szCs w:val="20"/>
        </w:rPr>
        <w:t xml:space="preserve">gen IL-10, </w:t>
      </w:r>
      <w:r w:rsidRPr="00EA245B">
        <w:rPr>
          <w:rFonts w:ascii="Arial" w:hAnsi="Arial" w:cs="Arial"/>
          <w:sz w:val="20"/>
          <w:szCs w:val="20"/>
        </w:rPr>
        <w:t xml:space="preserve">gen TERT MNS 16A, gen FAS (CD95), gen NFKB1, </w:t>
      </w:r>
      <w:r w:rsidR="000269D0" w:rsidRPr="00EA245B">
        <w:rPr>
          <w:rFonts w:ascii="Arial" w:hAnsi="Arial" w:cs="Arial"/>
          <w:sz w:val="20"/>
          <w:szCs w:val="20"/>
        </w:rPr>
        <w:t xml:space="preserve">gen TCRβ, gen </w:t>
      </w:r>
      <w:r w:rsidR="004D068F" w:rsidRPr="00EA245B">
        <w:rPr>
          <w:rFonts w:ascii="Arial" w:hAnsi="Arial" w:cs="Arial"/>
          <w:sz w:val="20"/>
          <w:szCs w:val="20"/>
        </w:rPr>
        <w:t>CYP2E1</w:t>
      </w:r>
      <w:r w:rsidR="00341D70" w:rsidRPr="00EA245B">
        <w:rPr>
          <w:rFonts w:ascii="Arial" w:hAnsi="Arial" w:cs="Arial"/>
          <w:sz w:val="20"/>
          <w:szCs w:val="20"/>
        </w:rPr>
        <w:t>, gen</w:t>
      </w:r>
      <w:r w:rsidRPr="00EA245B">
        <w:rPr>
          <w:rFonts w:ascii="Arial" w:hAnsi="Arial" w:cs="Arial"/>
          <w:sz w:val="20"/>
          <w:szCs w:val="20"/>
        </w:rPr>
        <w:t xml:space="preserve"> CYP2A6, </w:t>
      </w:r>
      <w:r w:rsidR="000269D0" w:rsidRPr="00EA245B">
        <w:rPr>
          <w:rFonts w:ascii="Arial" w:hAnsi="Arial" w:cs="Arial"/>
          <w:sz w:val="20"/>
          <w:szCs w:val="20"/>
        </w:rPr>
        <w:t>dan gen PIGR</w:t>
      </w:r>
      <w:r w:rsidR="00F609B8" w:rsidRPr="00EA245B">
        <w:rPr>
          <w:rFonts w:ascii="Arial" w:hAnsi="Arial" w:cs="Arial"/>
          <w:sz w:val="20"/>
          <w:szCs w:val="20"/>
        </w:rPr>
        <w:t xml:space="preserve">. Mutasi onkogen dan deaktivasi </w:t>
      </w:r>
      <w:r w:rsidR="00F609B8" w:rsidRPr="00EA245B">
        <w:rPr>
          <w:rFonts w:ascii="Arial" w:hAnsi="Arial" w:cs="Arial"/>
          <w:i/>
          <w:sz w:val="20"/>
          <w:szCs w:val="20"/>
        </w:rPr>
        <w:t>tumor supressor gen</w:t>
      </w:r>
      <w:r w:rsidR="00F609B8" w:rsidRPr="00EA245B">
        <w:rPr>
          <w:rFonts w:ascii="Arial" w:hAnsi="Arial" w:cs="Arial"/>
          <w:sz w:val="20"/>
          <w:szCs w:val="20"/>
        </w:rPr>
        <w:t xml:space="preserve"> yang menyebabkan kehilangan kontrol pertumbuhan normal juga dapat menyebabkan KNF </w:t>
      </w:r>
      <w:r w:rsidRPr="00EA245B">
        <w:rPr>
          <w:rFonts w:ascii="Arial" w:hAnsi="Arial" w:cs="Arial"/>
          <w:sz w:val="20"/>
          <w:szCs w:val="20"/>
        </w:rPr>
        <w:t>(Wei et al., 2007).</w:t>
      </w:r>
      <w:r w:rsidR="001C2A28" w:rsidRPr="00EA245B">
        <w:rPr>
          <w:rFonts w:ascii="Arial" w:hAnsi="Arial" w:cs="Arial"/>
          <w:sz w:val="20"/>
          <w:szCs w:val="20"/>
        </w:rPr>
        <w:t xml:space="preserve"> </w:t>
      </w:r>
    </w:p>
    <w:p w:rsidR="00E25EB5" w:rsidRDefault="00E25EB5" w:rsidP="00115F54">
      <w:pPr>
        <w:tabs>
          <w:tab w:val="left" w:pos="426"/>
        </w:tabs>
        <w:spacing w:after="0" w:line="240" w:lineRule="auto"/>
        <w:ind w:left="284" w:firstLine="567"/>
        <w:jc w:val="both"/>
        <w:rPr>
          <w:rFonts w:ascii="Times New Roman" w:hAnsi="Times New Roman" w:cs="Times New Roman"/>
        </w:rPr>
      </w:pPr>
    </w:p>
    <w:p w:rsidR="00EA245B" w:rsidRDefault="00EA245B" w:rsidP="008E270C">
      <w:pPr>
        <w:tabs>
          <w:tab w:val="left" w:pos="426"/>
        </w:tabs>
        <w:spacing w:after="0" w:line="240" w:lineRule="auto"/>
        <w:jc w:val="both"/>
        <w:rPr>
          <w:rFonts w:ascii="Times New Roman" w:hAnsi="Times New Roman"/>
          <w:b/>
        </w:rPr>
        <w:sectPr w:rsidR="00EA245B" w:rsidSect="00B8572A">
          <w:type w:val="continuous"/>
          <w:pgSz w:w="12240" w:h="15840"/>
          <w:pgMar w:top="1418" w:right="1418" w:bottom="1418" w:left="2268" w:header="720" w:footer="720" w:gutter="0"/>
          <w:cols w:num="2" w:space="720"/>
          <w:docGrid w:linePitch="360"/>
        </w:sectPr>
      </w:pPr>
    </w:p>
    <w:p w:rsidR="00EA245B" w:rsidRDefault="00EA245B" w:rsidP="00EA245B">
      <w:pPr>
        <w:tabs>
          <w:tab w:val="left" w:pos="426"/>
        </w:tabs>
        <w:spacing w:after="0" w:line="240" w:lineRule="auto"/>
        <w:jc w:val="center"/>
        <w:rPr>
          <w:rFonts w:ascii="Times New Roman" w:hAnsi="Times New Roman"/>
          <w:b/>
          <w:lang w:val="id-ID"/>
        </w:rPr>
      </w:pPr>
    </w:p>
    <w:p w:rsidR="008E270C" w:rsidRDefault="008E270C" w:rsidP="00EA245B">
      <w:pPr>
        <w:tabs>
          <w:tab w:val="left" w:pos="426"/>
        </w:tabs>
        <w:spacing w:after="0" w:line="240" w:lineRule="auto"/>
        <w:jc w:val="center"/>
        <w:rPr>
          <w:rFonts w:ascii="Times New Roman" w:hAnsi="Times New Roman"/>
          <w:b/>
          <w:lang w:val="id-ID"/>
        </w:rPr>
      </w:pPr>
      <w:proofErr w:type="gramStart"/>
      <w:r w:rsidRPr="008E270C">
        <w:rPr>
          <w:rFonts w:ascii="Times New Roman" w:hAnsi="Times New Roman"/>
          <w:b/>
        </w:rPr>
        <w:t>Tabel 3.</w:t>
      </w:r>
      <w:proofErr w:type="gramEnd"/>
      <w:r w:rsidRPr="008E270C">
        <w:rPr>
          <w:rFonts w:ascii="Times New Roman" w:hAnsi="Times New Roman"/>
          <w:b/>
        </w:rPr>
        <w:t xml:space="preserve"> Karakteristik </w:t>
      </w:r>
      <w:proofErr w:type="gramStart"/>
      <w:r w:rsidRPr="008E270C">
        <w:rPr>
          <w:rFonts w:ascii="Times New Roman" w:hAnsi="Times New Roman"/>
          <w:b/>
        </w:rPr>
        <w:t>usia</w:t>
      </w:r>
      <w:proofErr w:type="gramEnd"/>
      <w:r w:rsidRPr="008E270C">
        <w:rPr>
          <w:rFonts w:ascii="Times New Roman" w:hAnsi="Times New Roman"/>
          <w:b/>
        </w:rPr>
        <w:t xml:space="preserve"> pasien KNF</w:t>
      </w:r>
    </w:p>
    <w:p w:rsidR="00EA245B" w:rsidRPr="00EA245B" w:rsidRDefault="00EA245B" w:rsidP="00EA245B">
      <w:pPr>
        <w:tabs>
          <w:tab w:val="left" w:pos="426"/>
        </w:tabs>
        <w:spacing w:after="0" w:line="240" w:lineRule="auto"/>
        <w:jc w:val="center"/>
        <w:rPr>
          <w:rFonts w:ascii="Times New Roman" w:hAnsi="Times New Roman"/>
          <w:b/>
          <w:lang w:val="id-ID"/>
        </w:rPr>
      </w:pPr>
    </w:p>
    <w:tbl>
      <w:tblPr>
        <w:tblW w:w="3827" w:type="dxa"/>
        <w:jc w:val="center"/>
        <w:tblInd w:w="108" w:type="dxa"/>
        <w:tblBorders>
          <w:top w:val="single" w:sz="4" w:space="0" w:color="auto"/>
          <w:bottom w:val="single" w:sz="4" w:space="0" w:color="auto"/>
        </w:tblBorders>
        <w:tblLayout w:type="fixed"/>
        <w:tblLook w:val="04A0" w:firstRow="1" w:lastRow="0" w:firstColumn="1" w:lastColumn="0" w:noHBand="0" w:noVBand="1"/>
      </w:tblPr>
      <w:tblGrid>
        <w:gridCol w:w="1276"/>
        <w:gridCol w:w="1276"/>
        <w:gridCol w:w="1275"/>
      </w:tblGrid>
      <w:tr w:rsidR="008E270C" w:rsidRPr="00407B6C" w:rsidTr="00EA245B">
        <w:trPr>
          <w:trHeight w:val="227"/>
          <w:jc w:val="center"/>
        </w:trPr>
        <w:tc>
          <w:tcPr>
            <w:tcW w:w="1276" w:type="dxa"/>
            <w:tcBorders>
              <w:top w:val="single" w:sz="4" w:space="0" w:color="auto"/>
              <w:bottom w:val="single" w:sz="4" w:space="0" w:color="auto"/>
            </w:tcBorders>
            <w:shd w:val="clear" w:color="auto" w:fill="66FF99"/>
            <w:vAlign w:val="bottom"/>
          </w:tcPr>
          <w:p w:rsidR="008E270C" w:rsidRPr="00407B6C" w:rsidRDefault="008E270C" w:rsidP="00EA245B">
            <w:pPr>
              <w:spacing w:after="0" w:line="240" w:lineRule="auto"/>
              <w:jc w:val="center"/>
              <w:rPr>
                <w:rFonts w:ascii="Times New Roman" w:eastAsia="Times New Roman" w:hAnsi="Times New Roman"/>
                <w:b/>
                <w:bCs/>
                <w:color w:val="000000"/>
                <w:sz w:val="20"/>
                <w:szCs w:val="20"/>
              </w:rPr>
            </w:pPr>
            <w:r w:rsidRPr="00407B6C">
              <w:rPr>
                <w:rFonts w:ascii="Times New Roman" w:eastAsia="Times New Roman" w:hAnsi="Times New Roman"/>
                <w:b/>
                <w:bCs/>
                <w:color w:val="000000"/>
                <w:sz w:val="20"/>
                <w:szCs w:val="20"/>
              </w:rPr>
              <w:t>Usia (rerata±SD)</w:t>
            </w:r>
          </w:p>
        </w:tc>
        <w:tc>
          <w:tcPr>
            <w:tcW w:w="1276" w:type="dxa"/>
            <w:tcBorders>
              <w:top w:val="single" w:sz="4" w:space="0" w:color="auto"/>
              <w:bottom w:val="single" w:sz="4" w:space="0" w:color="auto"/>
            </w:tcBorders>
            <w:shd w:val="clear" w:color="auto" w:fill="66FF99"/>
            <w:vAlign w:val="bottom"/>
          </w:tcPr>
          <w:p w:rsidR="008E270C" w:rsidRDefault="008E270C" w:rsidP="00EA245B">
            <w:pPr>
              <w:spacing w:after="0" w:line="240" w:lineRule="auto"/>
              <w:jc w:val="center"/>
              <w:rPr>
                <w:rFonts w:ascii="Times New Roman" w:eastAsia="Times New Roman" w:hAnsi="Times New Roman"/>
                <w:b/>
                <w:bCs/>
                <w:color w:val="000000"/>
                <w:sz w:val="20"/>
                <w:szCs w:val="20"/>
              </w:rPr>
            </w:pPr>
            <w:r w:rsidRPr="003F7686">
              <w:rPr>
                <w:rFonts w:ascii="Times New Roman" w:eastAsia="Times New Roman" w:hAnsi="Times New Roman"/>
                <w:b/>
                <w:color w:val="000000"/>
                <w:sz w:val="20"/>
                <w:szCs w:val="20"/>
              </w:rPr>
              <w:t>49,67</w:t>
            </w:r>
            <w:r w:rsidRPr="003F7686">
              <w:rPr>
                <w:rFonts w:ascii="Times New Roman" w:eastAsia="Times New Roman" w:hAnsi="Times New Roman"/>
                <w:b/>
                <w:bCs/>
                <w:color w:val="000000"/>
                <w:sz w:val="20"/>
                <w:szCs w:val="20"/>
              </w:rPr>
              <w:t>±14,79</w:t>
            </w:r>
          </w:p>
          <w:p w:rsidR="008E270C" w:rsidRPr="003F7686" w:rsidRDefault="008E270C" w:rsidP="00EA245B">
            <w:pPr>
              <w:spacing w:after="0" w:line="240" w:lineRule="auto"/>
              <w:jc w:val="center"/>
              <w:rPr>
                <w:rFonts w:ascii="Times New Roman" w:eastAsia="Times New Roman" w:hAnsi="Times New Roman"/>
                <w:b/>
                <w:color w:val="000000"/>
                <w:sz w:val="20"/>
                <w:szCs w:val="20"/>
              </w:rPr>
            </w:pPr>
          </w:p>
        </w:tc>
        <w:tc>
          <w:tcPr>
            <w:tcW w:w="1275" w:type="dxa"/>
            <w:tcBorders>
              <w:top w:val="single" w:sz="4" w:space="0" w:color="auto"/>
              <w:bottom w:val="single" w:sz="4" w:space="0" w:color="auto"/>
            </w:tcBorders>
            <w:shd w:val="clear" w:color="auto" w:fill="66FF99"/>
            <w:vAlign w:val="bottom"/>
          </w:tcPr>
          <w:p w:rsidR="008E270C" w:rsidRPr="009C5319" w:rsidRDefault="008E270C" w:rsidP="00EA245B">
            <w:pPr>
              <w:spacing w:after="0" w:line="240" w:lineRule="auto"/>
              <w:jc w:val="center"/>
              <w:rPr>
                <w:rFonts w:ascii="Times New Roman" w:eastAsia="Times New Roman" w:hAnsi="Times New Roman"/>
                <w:color w:val="000000"/>
                <w:sz w:val="20"/>
                <w:szCs w:val="20"/>
              </w:rPr>
            </w:pPr>
            <w:r w:rsidRPr="00407B6C">
              <w:rPr>
                <w:rFonts w:ascii="Times New Roman" w:eastAsia="Times New Roman" w:hAnsi="Times New Roman"/>
                <w:b/>
                <w:color w:val="000000"/>
                <w:sz w:val="20"/>
                <w:szCs w:val="20"/>
              </w:rPr>
              <w:t>Presentase (%)</w:t>
            </w:r>
          </w:p>
        </w:tc>
      </w:tr>
      <w:tr w:rsidR="008E270C" w:rsidRPr="00407B6C" w:rsidTr="00EA245B">
        <w:trPr>
          <w:trHeight w:val="227"/>
          <w:jc w:val="center"/>
        </w:trPr>
        <w:tc>
          <w:tcPr>
            <w:tcW w:w="1276" w:type="dxa"/>
            <w:tcBorders>
              <w:top w:val="single" w:sz="4" w:space="0" w:color="auto"/>
            </w:tcBorders>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sidRPr="00407B6C">
              <w:rPr>
                <w:rFonts w:ascii="Times New Roman" w:eastAsia="Times New Roman" w:hAnsi="Times New Roman"/>
                <w:color w:val="000000"/>
                <w:sz w:val="20"/>
                <w:szCs w:val="20"/>
              </w:rPr>
              <w:t>&lt; 30 tahun</w:t>
            </w:r>
          </w:p>
        </w:tc>
        <w:tc>
          <w:tcPr>
            <w:tcW w:w="1276" w:type="dxa"/>
            <w:tcBorders>
              <w:top w:val="single" w:sz="4" w:space="0" w:color="auto"/>
            </w:tcBorders>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sidRPr="00407B6C">
              <w:rPr>
                <w:rFonts w:ascii="Times New Roman" w:eastAsia="Times New Roman" w:hAnsi="Times New Roman"/>
                <w:color w:val="000000"/>
                <w:sz w:val="20"/>
                <w:szCs w:val="20"/>
              </w:rPr>
              <w:t>3</w:t>
            </w:r>
          </w:p>
        </w:tc>
        <w:tc>
          <w:tcPr>
            <w:tcW w:w="1275" w:type="dxa"/>
            <w:tcBorders>
              <w:top w:val="single" w:sz="4" w:space="0" w:color="auto"/>
            </w:tcBorders>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sidRPr="00407B6C">
              <w:rPr>
                <w:rFonts w:ascii="Times New Roman" w:eastAsia="Times New Roman" w:hAnsi="Times New Roman"/>
                <w:color w:val="000000"/>
                <w:sz w:val="20"/>
                <w:szCs w:val="20"/>
              </w:rPr>
              <w:t>13,64</w:t>
            </w:r>
          </w:p>
        </w:tc>
      </w:tr>
      <w:tr w:rsidR="008E270C" w:rsidRPr="00407B6C" w:rsidTr="00EA245B">
        <w:trPr>
          <w:trHeight w:val="227"/>
          <w:jc w:val="center"/>
        </w:trPr>
        <w:tc>
          <w:tcPr>
            <w:tcW w:w="1276" w:type="dxa"/>
            <w:shd w:val="clear" w:color="auto" w:fill="CCFFCC"/>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sidRPr="00407B6C">
              <w:rPr>
                <w:rFonts w:ascii="Times New Roman" w:eastAsia="Times New Roman" w:hAnsi="Times New Roman"/>
                <w:color w:val="000000"/>
                <w:sz w:val="20"/>
                <w:szCs w:val="20"/>
              </w:rPr>
              <w:t>30-</w:t>
            </w:r>
            <w:r>
              <w:rPr>
                <w:rFonts w:ascii="Times New Roman" w:eastAsia="Times New Roman" w:hAnsi="Times New Roman"/>
                <w:color w:val="000000"/>
                <w:sz w:val="20"/>
                <w:szCs w:val="20"/>
              </w:rPr>
              <w:t>4</w:t>
            </w:r>
            <w:r w:rsidRPr="00407B6C">
              <w:rPr>
                <w:rFonts w:ascii="Times New Roman" w:eastAsia="Times New Roman" w:hAnsi="Times New Roman"/>
                <w:color w:val="000000"/>
                <w:sz w:val="20"/>
                <w:szCs w:val="20"/>
              </w:rPr>
              <w:t>0 tahun</w:t>
            </w:r>
          </w:p>
        </w:tc>
        <w:tc>
          <w:tcPr>
            <w:tcW w:w="1276" w:type="dxa"/>
            <w:shd w:val="clear" w:color="auto" w:fill="CCFFCC"/>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1275" w:type="dxa"/>
            <w:shd w:val="clear" w:color="auto" w:fill="CCFFCC"/>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4,55</w:t>
            </w:r>
          </w:p>
        </w:tc>
      </w:tr>
      <w:tr w:rsidR="008E270C" w:rsidRPr="00407B6C" w:rsidTr="00EA245B">
        <w:trPr>
          <w:trHeight w:val="227"/>
          <w:jc w:val="center"/>
        </w:trPr>
        <w:tc>
          <w:tcPr>
            <w:tcW w:w="1276" w:type="dxa"/>
            <w:shd w:val="clear" w:color="auto" w:fill="CCFFCC"/>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r w:rsidRPr="00407B6C">
              <w:rPr>
                <w:rFonts w:ascii="Times New Roman" w:eastAsia="Times New Roman" w:hAnsi="Times New Roman"/>
                <w:color w:val="000000"/>
                <w:sz w:val="20"/>
                <w:szCs w:val="20"/>
              </w:rPr>
              <w:t>0-</w:t>
            </w:r>
            <w:r>
              <w:rPr>
                <w:rFonts w:ascii="Times New Roman" w:eastAsia="Times New Roman" w:hAnsi="Times New Roman"/>
                <w:color w:val="000000"/>
                <w:sz w:val="20"/>
                <w:szCs w:val="20"/>
              </w:rPr>
              <w:t>5</w:t>
            </w:r>
            <w:r w:rsidRPr="00407B6C">
              <w:rPr>
                <w:rFonts w:ascii="Times New Roman" w:eastAsia="Times New Roman" w:hAnsi="Times New Roman"/>
                <w:color w:val="000000"/>
                <w:sz w:val="20"/>
                <w:szCs w:val="20"/>
              </w:rPr>
              <w:t>0 tahun</w:t>
            </w:r>
          </w:p>
        </w:tc>
        <w:tc>
          <w:tcPr>
            <w:tcW w:w="1276" w:type="dxa"/>
            <w:shd w:val="clear" w:color="auto" w:fill="CCFFCC"/>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1275" w:type="dxa"/>
            <w:shd w:val="clear" w:color="auto" w:fill="CCFFCC"/>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31,82</w:t>
            </w:r>
          </w:p>
        </w:tc>
      </w:tr>
      <w:tr w:rsidR="008E270C" w:rsidRPr="00407B6C" w:rsidTr="00EA245B">
        <w:trPr>
          <w:trHeight w:val="227"/>
          <w:jc w:val="center"/>
        </w:trPr>
        <w:tc>
          <w:tcPr>
            <w:tcW w:w="1276" w:type="dxa"/>
            <w:shd w:val="clear" w:color="auto" w:fill="CCFFCC"/>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r w:rsidRPr="00407B6C">
              <w:rPr>
                <w:rFonts w:ascii="Times New Roman" w:eastAsia="Times New Roman" w:hAnsi="Times New Roman"/>
                <w:color w:val="000000"/>
                <w:sz w:val="20"/>
                <w:szCs w:val="20"/>
              </w:rPr>
              <w:t>0-</w:t>
            </w:r>
            <w:r>
              <w:rPr>
                <w:rFonts w:ascii="Times New Roman" w:eastAsia="Times New Roman" w:hAnsi="Times New Roman"/>
                <w:color w:val="000000"/>
                <w:sz w:val="20"/>
                <w:szCs w:val="20"/>
              </w:rPr>
              <w:t>6</w:t>
            </w:r>
            <w:r w:rsidRPr="00407B6C">
              <w:rPr>
                <w:rFonts w:ascii="Times New Roman" w:eastAsia="Times New Roman" w:hAnsi="Times New Roman"/>
                <w:color w:val="000000"/>
                <w:sz w:val="20"/>
                <w:szCs w:val="20"/>
              </w:rPr>
              <w:t>0 tahun</w:t>
            </w:r>
          </w:p>
        </w:tc>
        <w:tc>
          <w:tcPr>
            <w:tcW w:w="1276" w:type="dxa"/>
            <w:shd w:val="clear" w:color="auto" w:fill="CCFFCC"/>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w:t>
            </w:r>
          </w:p>
        </w:tc>
        <w:tc>
          <w:tcPr>
            <w:tcW w:w="1275" w:type="dxa"/>
            <w:shd w:val="clear" w:color="auto" w:fill="CCFFCC"/>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36,36</w:t>
            </w:r>
          </w:p>
        </w:tc>
      </w:tr>
      <w:tr w:rsidR="008E270C" w:rsidRPr="00407B6C" w:rsidTr="00EA245B">
        <w:trPr>
          <w:trHeight w:val="227"/>
          <w:jc w:val="center"/>
        </w:trPr>
        <w:tc>
          <w:tcPr>
            <w:tcW w:w="1276" w:type="dxa"/>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sidRPr="00407B6C">
              <w:rPr>
                <w:rFonts w:ascii="Times New Roman" w:eastAsia="Times New Roman" w:hAnsi="Times New Roman"/>
                <w:color w:val="000000"/>
                <w:sz w:val="20"/>
                <w:szCs w:val="20"/>
              </w:rPr>
              <w:t>&gt;60 tahun</w:t>
            </w:r>
          </w:p>
        </w:tc>
        <w:tc>
          <w:tcPr>
            <w:tcW w:w="1276" w:type="dxa"/>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sidRPr="00407B6C">
              <w:rPr>
                <w:rFonts w:ascii="Times New Roman" w:eastAsia="Times New Roman" w:hAnsi="Times New Roman"/>
                <w:color w:val="000000"/>
                <w:sz w:val="20"/>
                <w:szCs w:val="20"/>
              </w:rPr>
              <w:t>3</w:t>
            </w:r>
          </w:p>
        </w:tc>
        <w:tc>
          <w:tcPr>
            <w:tcW w:w="1275" w:type="dxa"/>
            <w:vAlign w:val="bottom"/>
          </w:tcPr>
          <w:p w:rsidR="008E270C" w:rsidRPr="00407B6C" w:rsidRDefault="008E270C" w:rsidP="00EA245B">
            <w:pPr>
              <w:spacing w:after="0" w:line="240" w:lineRule="auto"/>
              <w:jc w:val="center"/>
              <w:rPr>
                <w:rFonts w:ascii="Times New Roman" w:eastAsia="Times New Roman" w:hAnsi="Times New Roman"/>
                <w:color w:val="000000"/>
                <w:sz w:val="20"/>
                <w:szCs w:val="20"/>
              </w:rPr>
            </w:pPr>
            <w:r w:rsidRPr="00407B6C">
              <w:rPr>
                <w:rFonts w:ascii="Times New Roman" w:eastAsia="Times New Roman" w:hAnsi="Times New Roman"/>
                <w:color w:val="000000"/>
                <w:sz w:val="20"/>
                <w:szCs w:val="20"/>
              </w:rPr>
              <w:t>13,64</w:t>
            </w:r>
          </w:p>
        </w:tc>
      </w:tr>
    </w:tbl>
    <w:p w:rsidR="008E270C" w:rsidRDefault="008E270C" w:rsidP="00EA245B">
      <w:pPr>
        <w:tabs>
          <w:tab w:val="left" w:pos="426"/>
        </w:tabs>
        <w:spacing w:after="0" w:line="240" w:lineRule="auto"/>
        <w:ind w:left="284" w:firstLine="567"/>
        <w:jc w:val="center"/>
        <w:rPr>
          <w:rFonts w:ascii="Times New Roman" w:hAnsi="Times New Roman"/>
          <w:sz w:val="24"/>
          <w:szCs w:val="24"/>
        </w:rPr>
      </w:pPr>
    </w:p>
    <w:p w:rsidR="00EA245B" w:rsidRDefault="00EA245B" w:rsidP="00A75755">
      <w:pPr>
        <w:tabs>
          <w:tab w:val="left" w:pos="426"/>
        </w:tabs>
        <w:spacing w:after="0" w:line="240" w:lineRule="auto"/>
        <w:ind w:firstLine="567"/>
        <w:jc w:val="both"/>
        <w:rPr>
          <w:rFonts w:ascii="Times New Roman" w:hAnsi="Times New Roman" w:cs="Times New Roman"/>
        </w:rPr>
        <w:sectPr w:rsidR="00EA245B" w:rsidSect="00EA245B">
          <w:type w:val="continuous"/>
          <w:pgSz w:w="12240" w:h="15840"/>
          <w:pgMar w:top="1418" w:right="1418" w:bottom="1418" w:left="2268" w:header="720" w:footer="720" w:gutter="0"/>
          <w:cols w:space="720"/>
          <w:docGrid w:linePitch="360"/>
        </w:sectPr>
      </w:pPr>
    </w:p>
    <w:p w:rsidR="008E270C" w:rsidRPr="00EE640E" w:rsidRDefault="00115F54" w:rsidP="00EE640E">
      <w:pPr>
        <w:autoSpaceDE w:val="0"/>
        <w:autoSpaceDN w:val="0"/>
        <w:adjustRightInd w:val="0"/>
        <w:spacing w:after="0" w:line="240" w:lineRule="auto"/>
        <w:ind w:firstLine="426"/>
        <w:jc w:val="both"/>
        <w:rPr>
          <w:rFonts w:ascii="Arial" w:hAnsi="Arial" w:cs="Arial"/>
          <w:sz w:val="20"/>
          <w:szCs w:val="20"/>
        </w:rPr>
      </w:pPr>
      <w:proofErr w:type="gramStart"/>
      <w:r w:rsidRPr="00EE640E">
        <w:rPr>
          <w:rFonts w:ascii="Arial" w:hAnsi="Arial" w:cs="Arial"/>
          <w:sz w:val="20"/>
          <w:szCs w:val="20"/>
        </w:rPr>
        <w:lastRenderedPageBreak/>
        <w:t>Subjek penelitian memiliki distribusi umur yang berbeda.</w:t>
      </w:r>
      <w:proofErr w:type="gramEnd"/>
      <w:r w:rsidRPr="00EE640E">
        <w:rPr>
          <w:rFonts w:ascii="Arial" w:hAnsi="Arial" w:cs="Arial"/>
          <w:sz w:val="20"/>
          <w:szCs w:val="20"/>
        </w:rPr>
        <w:t xml:space="preserve"> Dari 22 sampel penelitian ini, rata-rata usia </w:t>
      </w:r>
      <w:r w:rsidR="00E25EB5" w:rsidRPr="00EE640E">
        <w:rPr>
          <w:rFonts w:ascii="Arial" w:hAnsi="Arial" w:cs="Arial"/>
          <w:sz w:val="20"/>
          <w:szCs w:val="20"/>
        </w:rPr>
        <w:t>subjek</w:t>
      </w:r>
      <w:r w:rsidRPr="00EE640E">
        <w:rPr>
          <w:rFonts w:ascii="Arial" w:hAnsi="Arial" w:cs="Arial"/>
          <w:sz w:val="20"/>
          <w:szCs w:val="20"/>
        </w:rPr>
        <w:t xml:space="preserve"> penelitian pada waktu diagnosis adalah 49</w:t>
      </w:r>
      <w:proofErr w:type="gramStart"/>
      <w:r w:rsidRPr="00EE640E">
        <w:rPr>
          <w:rFonts w:ascii="Arial" w:hAnsi="Arial" w:cs="Arial"/>
          <w:sz w:val="20"/>
          <w:szCs w:val="20"/>
        </w:rPr>
        <w:t>,14</w:t>
      </w:r>
      <w:proofErr w:type="gramEnd"/>
      <w:r w:rsidRPr="00EE640E">
        <w:rPr>
          <w:rFonts w:ascii="Arial" w:hAnsi="Arial" w:cs="Arial"/>
          <w:sz w:val="20"/>
          <w:szCs w:val="20"/>
        </w:rPr>
        <w:t>±14,79 tahun, sehingga memberikan gambaran bahwa mayoritas subyek penelitian berusia lebih dari 40 tahun. Berdasarkan atas kategori usia subyek penelitian memperlihatkan bahwa kelompok usia 30-60 tahun adalah porsi paling dominan pa</w:t>
      </w:r>
      <w:r w:rsidR="00341D70" w:rsidRPr="00EE640E">
        <w:rPr>
          <w:rFonts w:ascii="Arial" w:hAnsi="Arial" w:cs="Arial"/>
          <w:sz w:val="20"/>
          <w:szCs w:val="20"/>
        </w:rPr>
        <w:t>da kelompok penderita KNF yaitu</w:t>
      </w:r>
      <w:r w:rsidRPr="00EE640E">
        <w:rPr>
          <w:rFonts w:ascii="Arial" w:hAnsi="Arial" w:cs="Arial"/>
          <w:sz w:val="20"/>
          <w:szCs w:val="20"/>
        </w:rPr>
        <w:t xml:space="preserve"> 16 orang (72,7%), sedangkan kelompok usia kurang dari 30 tahun dan lebih dari 60 tahun masing-masing </w:t>
      </w:r>
      <w:r w:rsidR="00341D70" w:rsidRPr="00EE640E">
        <w:rPr>
          <w:rFonts w:ascii="Arial" w:hAnsi="Arial" w:cs="Arial"/>
          <w:sz w:val="20"/>
          <w:szCs w:val="20"/>
        </w:rPr>
        <w:t xml:space="preserve">sebanyak </w:t>
      </w:r>
      <w:r w:rsidRPr="00EE640E">
        <w:rPr>
          <w:rFonts w:ascii="Arial" w:hAnsi="Arial" w:cs="Arial"/>
          <w:sz w:val="20"/>
          <w:szCs w:val="20"/>
        </w:rPr>
        <w:t xml:space="preserve">3 orang (13,64%), sehingga memberikan gambaran bahwa insidensi KNF terjadi pada kelompok usia produktif. Penelitian terdahulu menyatakan bahwa insidensi KNF </w:t>
      </w:r>
      <w:proofErr w:type="gramStart"/>
      <w:r w:rsidRPr="00EE640E">
        <w:rPr>
          <w:rFonts w:ascii="Arial" w:hAnsi="Arial" w:cs="Arial"/>
          <w:sz w:val="20"/>
          <w:szCs w:val="20"/>
        </w:rPr>
        <w:t>akan</w:t>
      </w:r>
      <w:proofErr w:type="gramEnd"/>
      <w:r w:rsidRPr="00EE640E">
        <w:rPr>
          <w:rFonts w:ascii="Arial" w:hAnsi="Arial" w:cs="Arial"/>
          <w:sz w:val="20"/>
          <w:szCs w:val="20"/>
        </w:rPr>
        <w:t xml:space="preserve"> meningkat pada usia 20-50 tahun dan puncak insidensi KNF terjadi pada usia 40-60 tahun (Cho, 2007). Gautama et al. (2011) menyatakan bahwa kelompok karsinoma nasofaring sebagian </w:t>
      </w:r>
      <w:r w:rsidRPr="00EE640E">
        <w:rPr>
          <w:rFonts w:ascii="Arial" w:hAnsi="Arial" w:cs="Arial"/>
          <w:sz w:val="20"/>
          <w:szCs w:val="20"/>
        </w:rPr>
        <w:lastRenderedPageBreak/>
        <w:t xml:space="preserve">besar berusia 30-60 tahun dan menurun di kelompok </w:t>
      </w:r>
      <w:proofErr w:type="gramStart"/>
      <w:r w:rsidRPr="00EE640E">
        <w:rPr>
          <w:rFonts w:ascii="Arial" w:hAnsi="Arial" w:cs="Arial"/>
          <w:sz w:val="20"/>
          <w:szCs w:val="20"/>
        </w:rPr>
        <w:t>usia</w:t>
      </w:r>
      <w:proofErr w:type="gramEnd"/>
      <w:r w:rsidRPr="00EE640E">
        <w:rPr>
          <w:rFonts w:ascii="Arial" w:hAnsi="Arial" w:cs="Arial"/>
          <w:sz w:val="20"/>
          <w:szCs w:val="20"/>
        </w:rPr>
        <w:t xml:space="preserve"> di atas 60</w:t>
      </w:r>
      <w:r w:rsidR="000269D0" w:rsidRPr="00EE640E">
        <w:rPr>
          <w:rFonts w:ascii="Arial" w:hAnsi="Arial" w:cs="Arial"/>
          <w:sz w:val="20"/>
          <w:szCs w:val="20"/>
        </w:rPr>
        <w:t xml:space="preserve"> tahun. </w:t>
      </w:r>
      <w:r w:rsidR="008E270C" w:rsidRPr="00EE640E">
        <w:rPr>
          <w:rFonts w:ascii="Arial" w:hAnsi="Arial" w:cs="Arial"/>
          <w:sz w:val="20"/>
          <w:szCs w:val="20"/>
        </w:rPr>
        <w:t xml:space="preserve">Menurut Munir et al. (2007), pada </w:t>
      </w:r>
      <w:proofErr w:type="gramStart"/>
      <w:r w:rsidR="008E270C" w:rsidRPr="00EE640E">
        <w:rPr>
          <w:rFonts w:ascii="Arial" w:hAnsi="Arial" w:cs="Arial"/>
          <w:sz w:val="20"/>
          <w:szCs w:val="20"/>
        </w:rPr>
        <w:t>usia</w:t>
      </w:r>
      <w:proofErr w:type="gramEnd"/>
      <w:r w:rsidR="008E270C" w:rsidRPr="00EE640E">
        <w:rPr>
          <w:rFonts w:ascii="Arial" w:hAnsi="Arial" w:cs="Arial"/>
          <w:sz w:val="20"/>
          <w:szCs w:val="20"/>
        </w:rPr>
        <w:t xml:space="preserve"> lanjut sistem im</w:t>
      </w:r>
      <w:r w:rsidR="000269D0" w:rsidRPr="00EE640E">
        <w:rPr>
          <w:rFonts w:ascii="Arial" w:hAnsi="Arial" w:cs="Arial"/>
          <w:sz w:val="20"/>
          <w:szCs w:val="20"/>
        </w:rPr>
        <w:t xml:space="preserve">un akan berkurang </w:t>
      </w:r>
      <w:r w:rsidR="008E270C" w:rsidRPr="00EE640E">
        <w:rPr>
          <w:rFonts w:ascii="Arial" w:hAnsi="Arial" w:cs="Arial"/>
          <w:sz w:val="20"/>
          <w:szCs w:val="20"/>
        </w:rPr>
        <w:t>sehingga KNF banyak terjadi pada usia 40-50 tahun disebabkan terjadinya penurunan respons imun tubuh terhadap EBV.</w:t>
      </w:r>
    </w:p>
    <w:p w:rsidR="008E270C" w:rsidRPr="00EE640E" w:rsidRDefault="008E270C" w:rsidP="00A75755">
      <w:pPr>
        <w:pStyle w:val="ListParagraph"/>
        <w:tabs>
          <w:tab w:val="left" w:pos="426"/>
        </w:tabs>
        <w:spacing w:after="0"/>
        <w:ind w:left="0"/>
        <w:jc w:val="both"/>
        <w:rPr>
          <w:rFonts w:ascii="Arial" w:hAnsi="Arial" w:cs="Arial"/>
          <w:b/>
          <w:sz w:val="20"/>
          <w:szCs w:val="20"/>
        </w:rPr>
      </w:pPr>
    </w:p>
    <w:p w:rsidR="00115F54" w:rsidRPr="00EE640E" w:rsidRDefault="00115F54" w:rsidP="00A75755">
      <w:pPr>
        <w:pStyle w:val="ListParagraph"/>
        <w:tabs>
          <w:tab w:val="left" w:pos="426"/>
        </w:tabs>
        <w:spacing w:after="0"/>
        <w:ind w:left="0"/>
        <w:jc w:val="both"/>
        <w:rPr>
          <w:rFonts w:ascii="Arial" w:hAnsi="Arial" w:cs="Arial"/>
          <w:b/>
          <w:sz w:val="20"/>
          <w:szCs w:val="20"/>
        </w:rPr>
      </w:pPr>
      <w:r w:rsidRPr="00EE640E">
        <w:rPr>
          <w:rFonts w:ascii="Arial" w:hAnsi="Arial" w:cs="Arial"/>
          <w:b/>
          <w:sz w:val="20"/>
          <w:szCs w:val="20"/>
        </w:rPr>
        <w:t xml:space="preserve">Isolasi DNA </w:t>
      </w:r>
      <w:proofErr w:type="gramStart"/>
      <w:r w:rsidRPr="00EE640E">
        <w:rPr>
          <w:rFonts w:ascii="Arial" w:hAnsi="Arial" w:cs="Arial"/>
          <w:b/>
          <w:sz w:val="20"/>
          <w:szCs w:val="20"/>
        </w:rPr>
        <w:t>Epstein-Barr Virus</w:t>
      </w:r>
      <w:proofErr w:type="gramEnd"/>
      <w:r w:rsidRPr="00EE640E">
        <w:rPr>
          <w:rFonts w:ascii="Arial" w:hAnsi="Arial" w:cs="Arial"/>
          <w:b/>
          <w:sz w:val="20"/>
          <w:szCs w:val="20"/>
        </w:rPr>
        <w:t xml:space="preserve"> (EBV)</w:t>
      </w:r>
    </w:p>
    <w:p w:rsidR="00424A41" w:rsidRDefault="00115F54" w:rsidP="00EE640E">
      <w:pPr>
        <w:autoSpaceDE w:val="0"/>
        <w:autoSpaceDN w:val="0"/>
        <w:adjustRightInd w:val="0"/>
        <w:spacing w:after="0" w:line="240" w:lineRule="auto"/>
        <w:ind w:firstLine="426"/>
        <w:jc w:val="both"/>
        <w:rPr>
          <w:rFonts w:ascii="Arial" w:hAnsi="Arial" w:cs="Arial"/>
          <w:sz w:val="20"/>
          <w:szCs w:val="20"/>
          <w:lang w:val="id-ID"/>
        </w:rPr>
      </w:pPr>
      <w:proofErr w:type="gramStart"/>
      <w:r w:rsidRPr="00EE640E">
        <w:rPr>
          <w:rFonts w:ascii="Arial" w:hAnsi="Arial" w:cs="Arial"/>
          <w:sz w:val="20"/>
          <w:szCs w:val="20"/>
        </w:rPr>
        <w:t>Tahap isolasi dilakukan pada 22 sampel darah penderita KNF</w:t>
      </w:r>
      <w:r w:rsidR="00A75755" w:rsidRPr="00EE640E">
        <w:rPr>
          <w:rFonts w:ascii="Arial" w:hAnsi="Arial" w:cs="Arial"/>
          <w:sz w:val="20"/>
          <w:szCs w:val="20"/>
        </w:rPr>
        <w:t>.</w:t>
      </w:r>
      <w:proofErr w:type="gramEnd"/>
      <w:r w:rsidRPr="00EE640E">
        <w:rPr>
          <w:rFonts w:ascii="Arial" w:hAnsi="Arial" w:cs="Arial"/>
          <w:sz w:val="20"/>
          <w:szCs w:val="20"/>
        </w:rPr>
        <w:t xml:space="preserve"> Menurut Surzycki (2000), DNA </w:t>
      </w:r>
      <w:r w:rsidR="000269D0" w:rsidRPr="00EE640E">
        <w:rPr>
          <w:rFonts w:ascii="Arial" w:hAnsi="Arial" w:cs="Arial"/>
          <w:sz w:val="20"/>
          <w:szCs w:val="20"/>
        </w:rPr>
        <w:t xml:space="preserve">hasil isolasi yang </w:t>
      </w:r>
      <w:r w:rsidRPr="00EE640E">
        <w:rPr>
          <w:rFonts w:ascii="Arial" w:hAnsi="Arial" w:cs="Arial"/>
          <w:sz w:val="20"/>
          <w:szCs w:val="20"/>
        </w:rPr>
        <w:t xml:space="preserve">berkualitas </w:t>
      </w:r>
      <w:r w:rsidR="000269D0" w:rsidRPr="00EE640E">
        <w:rPr>
          <w:rFonts w:ascii="Arial" w:hAnsi="Arial" w:cs="Arial"/>
          <w:sz w:val="20"/>
          <w:szCs w:val="20"/>
        </w:rPr>
        <w:t>baik</w:t>
      </w:r>
      <w:r w:rsidRPr="00EE640E">
        <w:rPr>
          <w:rFonts w:ascii="Arial" w:hAnsi="Arial" w:cs="Arial"/>
          <w:sz w:val="20"/>
          <w:szCs w:val="20"/>
        </w:rPr>
        <w:t xml:space="preserve"> </w:t>
      </w:r>
      <w:r w:rsidR="000269D0" w:rsidRPr="00EE640E">
        <w:rPr>
          <w:rFonts w:ascii="Arial" w:hAnsi="Arial" w:cs="Arial"/>
          <w:sz w:val="20"/>
          <w:szCs w:val="20"/>
        </w:rPr>
        <w:t>adalah</w:t>
      </w:r>
      <w:r w:rsidRPr="00EE640E">
        <w:rPr>
          <w:rFonts w:ascii="Arial" w:hAnsi="Arial" w:cs="Arial"/>
          <w:sz w:val="20"/>
          <w:szCs w:val="20"/>
        </w:rPr>
        <w:t xml:space="preserve"> hal penting yang harus dipenuhi dalam studi molekuler. </w:t>
      </w:r>
      <w:r w:rsidR="000269D0" w:rsidRPr="00EE640E">
        <w:rPr>
          <w:rFonts w:ascii="Arial" w:hAnsi="Arial" w:cs="Arial"/>
          <w:sz w:val="20"/>
          <w:szCs w:val="20"/>
        </w:rPr>
        <w:t xml:space="preserve">Tahapan isolasi DNA </w:t>
      </w:r>
      <w:r w:rsidRPr="00EE640E">
        <w:rPr>
          <w:rFonts w:ascii="Arial" w:hAnsi="Arial" w:cs="Arial"/>
          <w:sz w:val="20"/>
          <w:szCs w:val="20"/>
        </w:rPr>
        <w:t xml:space="preserve">terdiri dari tiga tahap, yaitu perusakan sel, pemisahan DNA dari bahan </w:t>
      </w:r>
      <w:proofErr w:type="gramStart"/>
      <w:r w:rsidRPr="00EE640E">
        <w:rPr>
          <w:rFonts w:ascii="Arial" w:hAnsi="Arial" w:cs="Arial"/>
          <w:sz w:val="20"/>
          <w:szCs w:val="20"/>
        </w:rPr>
        <w:t>lain</w:t>
      </w:r>
      <w:proofErr w:type="gramEnd"/>
      <w:r w:rsidRPr="00EE640E">
        <w:rPr>
          <w:rFonts w:ascii="Arial" w:hAnsi="Arial" w:cs="Arial"/>
          <w:sz w:val="20"/>
          <w:szCs w:val="20"/>
        </w:rPr>
        <w:t xml:space="preserve">, </w:t>
      </w:r>
      <w:r w:rsidR="000269D0" w:rsidRPr="00EE640E">
        <w:rPr>
          <w:rFonts w:ascii="Arial" w:hAnsi="Arial" w:cs="Arial"/>
          <w:sz w:val="20"/>
          <w:szCs w:val="20"/>
        </w:rPr>
        <w:t>dan</w:t>
      </w:r>
      <w:r w:rsidRPr="00EE640E">
        <w:rPr>
          <w:rFonts w:ascii="Arial" w:hAnsi="Arial" w:cs="Arial"/>
          <w:sz w:val="20"/>
          <w:szCs w:val="20"/>
        </w:rPr>
        <w:t xml:space="preserve"> pemurnian DNA.</w:t>
      </w:r>
      <w:r w:rsidR="000269D0" w:rsidRPr="00EE640E">
        <w:rPr>
          <w:rFonts w:ascii="Arial" w:hAnsi="Arial" w:cs="Arial"/>
          <w:sz w:val="20"/>
          <w:szCs w:val="20"/>
        </w:rPr>
        <w:t xml:space="preserve"> </w:t>
      </w:r>
      <w:proofErr w:type="gramStart"/>
      <w:r w:rsidR="00424A41" w:rsidRPr="00EE640E">
        <w:rPr>
          <w:rFonts w:ascii="Arial" w:hAnsi="Arial" w:cs="Arial"/>
          <w:sz w:val="20"/>
          <w:szCs w:val="20"/>
        </w:rPr>
        <w:t>DNA hasil isolasi diuji secara kualitatif menggunakan elektroforesis dan secara kuantitatif dengan menggunakan spektrofotometer nanodrop.</w:t>
      </w:r>
      <w:proofErr w:type="gramEnd"/>
    </w:p>
    <w:p w:rsidR="00EE640E" w:rsidRDefault="00EE640E" w:rsidP="00EE640E">
      <w:pPr>
        <w:autoSpaceDE w:val="0"/>
        <w:autoSpaceDN w:val="0"/>
        <w:adjustRightInd w:val="0"/>
        <w:spacing w:after="0" w:line="240" w:lineRule="auto"/>
        <w:ind w:firstLine="426"/>
        <w:jc w:val="both"/>
        <w:rPr>
          <w:rFonts w:ascii="Arial" w:hAnsi="Arial" w:cs="Arial"/>
          <w:sz w:val="20"/>
          <w:szCs w:val="20"/>
          <w:lang w:val="id-ID"/>
        </w:rPr>
      </w:pPr>
    </w:p>
    <w:p w:rsidR="00EE640E" w:rsidRDefault="00EE640E" w:rsidP="00EE640E">
      <w:pPr>
        <w:autoSpaceDE w:val="0"/>
        <w:autoSpaceDN w:val="0"/>
        <w:adjustRightInd w:val="0"/>
        <w:spacing w:after="0" w:line="240" w:lineRule="auto"/>
        <w:ind w:firstLine="426"/>
        <w:jc w:val="both"/>
        <w:rPr>
          <w:rFonts w:ascii="Arial" w:hAnsi="Arial" w:cs="Arial"/>
          <w:sz w:val="20"/>
          <w:szCs w:val="20"/>
          <w:lang w:val="id-ID"/>
        </w:rPr>
        <w:sectPr w:rsidR="00EE640E" w:rsidSect="00B8572A">
          <w:type w:val="continuous"/>
          <w:pgSz w:w="12240" w:h="15840"/>
          <w:pgMar w:top="1418" w:right="1418" w:bottom="1418" w:left="2268" w:header="720" w:footer="720" w:gutter="0"/>
          <w:cols w:num="2" w:space="720"/>
          <w:docGrid w:linePitch="360"/>
        </w:sectPr>
      </w:pPr>
    </w:p>
    <w:p w:rsidR="00EE640E" w:rsidRPr="00EE640E" w:rsidRDefault="00EE640E" w:rsidP="00EE640E">
      <w:pPr>
        <w:autoSpaceDE w:val="0"/>
        <w:autoSpaceDN w:val="0"/>
        <w:adjustRightInd w:val="0"/>
        <w:spacing w:after="0" w:line="240" w:lineRule="auto"/>
        <w:ind w:firstLine="426"/>
        <w:jc w:val="both"/>
        <w:rPr>
          <w:rFonts w:ascii="Arial" w:hAnsi="Arial" w:cs="Arial"/>
          <w:sz w:val="20"/>
          <w:szCs w:val="20"/>
          <w:lang w:val="id-ID"/>
        </w:rPr>
      </w:pPr>
    </w:p>
    <w:p w:rsidR="00424A41" w:rsidRDefault="00424A41" w:rsidP="00424A41">
      <w:pPr>
        <w:pStyle w:val="ListParagraph"/>
        <w:tabs>
          <w:tab w:val="left" w:pos="426"/>
        </w:tabs>
        <w:spacing w:after="0" w:line="240" w:lineRule="auto"/>
        <w:ind w:left="0"/>
        <w:jc w:val="center"/>
        <w:rPr>
          <w:rFonts w:ascii="Times New Roman" w:hAnsi="Times New Roman"/>
        </w:rPr>
      </w:pPr>
      <w:r>
        <w:rPr>
          <w:rFonts w:ascii="Times New Roman" w:hAnsi="Times New Roman"/>
          <w:noProof/>
          <w:sz w:val="24"/>
          <w:szCs w:val="24"/>
          <w:lang w:val="id-ID" w:eastAsia="id-ID"/>
        </w:rPr>
        <w:drawing>
          <wp:inline distT="0" distB="0" distL="0" distR="0" wp14:anchorId="4F6BFD0A" wp14:editId="7CD74D55">
            <wp:extent cx="2242268" cy="261255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lasi genom.jpg"/>
                    <pic:cNvPicPr/>
                  </pic:nvPicPr>
                  <pic:blipFill>
                    <a:blip r:embed="rId12">
                      <a:extLst>
                        <a:ext uri="{28A0092B-C50C-407E-A947-70E740481C1C}">
                          <a14:useLocalDpi xmlns:a14="http://schemas.microsoft.com/office/drawing/2010/main" val="0"/>
                        </a:ext>
                      </a:extLst>
                    </a:blip>
                    <a:stretch>
                      <a:fillRect/>
                    </a:stretch>
                  </pic:blipFill>
                  <pic:spPr>
                    <a:xfrm>
                      <a:off x="0" y="0"/>
                      <a:ext cx="2247914" cy="2619135"/>
                    </a:xfrm>
                    <a:prstGeom prst="rect">
                      <a:avLst/>
                    </a:prstGeom>
                  </pic:spPr>
                </pic:pic>
              </a:graphicData>
            </a:graphic>
          </wp:inline>
        </w:drawing>
      </w:r>
    </w:p>
    <w:p w:rsidR="00424A41" w:rsidRDefault="00424A41" w:rsidP="00424A41">
      <w:pPr>
        <w:pStyle w:val="ListParagraph"/>
        <w:tabs>
          <w:tab w:val="left" w:pos="426"/>
        </w:tabs>
        <w:spacing w:after="0" w:line="240" w:lineRule="auto"/>
        <w:ind w:left="0"/>
        <w:jc w:val="both"/>
        <w:rPr>
          <w:rFonts w:ascii="Times New Roman" w:hAnsi="Times New Roman"/>
        </w:rPr>
      </w:pPr>
      <w:proofErr w:type="gramStart"/>
      <w:r>
        <w:rPr>
          <w:rFonts w:ascii="Times New Roman" w:hAnsi="Times New Roman"/>
          <w:b/>
          <w:sz w:val="20"/>
          <w:szCs w:val="20"/>
        </w:rPr>
        <w:t xml:space="preserve">Gambar </w:t>
      </w:r>
      <w:r w:rsidR="000269D0">
        <w:rPr>
          <w:rFonts w:ascii="Times New Roman" w:hAnsi="Times New Roman"/>
          <w:b/>
          <w:sz w:val="20"/>
          <w:szCs w:val="20"/>
        </w:rPr>
        <w:t>1</w:t>
      </w:r>
      <w:r w:rsidRPr="00C4397B">
        <w:rPr>
          <w:rFonts w:ascii="Times New Roman" w:hAnsi="Times New Roman"/>
          <w:b/>
          <w:sz w:val="20"/>
          <w:szCs w:val="20"/>
        </w:rPr>
        <w:t>.</w:t>
      </w:r>
      <w:proofErr w:type="gramEnd"/>
      <w:r w:rsidRPr="00C4397B">
        <w:rPr>
          <w:rFonts w:ascii="Times New Roman" w:hAnsi="Times New Roman"/>
          <w:b/>
          <w:sz w:val="20"/>
          <w:szCs w:val="20"/>
        </w:rPr>
        <w:t xml:space="preserve"> </w:t>
      </w:r>
      <w:r>
        <w:rPr>
          <w:rFonts w:ascii="Times New Roman" w:hAnsi="Times New Roman"/>
          <w:b/>
          <w:sz w:val="20"/>
          <w:szCs w:val="20"/>
        </w:rPr>
        <w:t>Visualisasi DNA sampel KNF (M, Marka DNA 1 kb; 1-22, DNA sampel KNF)</w:t>
      </w:r>
    </w:p>
    <w:p w:rsidR="008E270C" w:rsidRDefault="008E270C" w:rsidP="00A97E46">
      <w:pPr>
        <w:spacing w:after="0" w:line="240" w:lineRule="auto"/>
        <w:rPr>
          <w:rFonts w:ascii="Times New Roman" w:hAnsi="Times New Roman"/>
          <w:b/>
        </w:rPr>
      </w:pPr>
    </w:p>
    <w:p w:rsidR="00EE640E" w:rsidRDefault="00EE640E" w:rsidP="00424A41">
      <w:pPr>
        <w:spacing w:after="0" w:line="240" w:lineRule="auto"/>
        <w:ind w:firstLine="567"/>
        <w:jc w:val="both"/>
        <w:rPr>
          <w:rFonts w:ascii="Times New Roman" w:hAnsi="Times New Roman"/>
        </w:rPr>
        <w:sectPr w:rsidR="00EE640E" w:rsidSect="00EE640E">
          <w:type w:val="continuous"/>
          <w:pgSz w:w="12240" w:h="15840"/>
          <w:pgMar w:top="1418" w:right="1418" w:bottom="1418" w:left="2268" w:header="720" w:footer="720" w:gutter="0"/>
          <w:cols w:space="720"/>
          <w:docGrid w:linePitch="360"/>
        </w:sectPr>
      </w:pPr>
    </w:p>
    <w:p w:rsidR="00424A41" w:rsidRPr="00EE640E" w:rsidRDefault="00424A41" w:rsidP="00EE640E">
      <w:pPr>
        <w:spacing w:after="0" w:line="240" w:lineRule="auto"/>
        <w:ind w:firstLine="426"/>
        <w:jc w:val="both"/>
        <w:rPr>
          <w:rFonts w:ascii="Arial" w:hAnsi="Arial" w:cs="Arial"/>
          <w:sz w:val="20"/>
          <w:szCs w:val="20"/>
        </w:rPr>
      </w:pPr>
      <w:r w:rsidRPr="00EE640E">
        <w:rPr>
          <w:rFonts w:ascii="Arial" w:hAnsi="Arial" w:cs="Arial"/>
          <w:sz w:val="20"/>
          <w:szCs w:val="20"/>
        </w:rPr>
        <w:lastRenderedPageBreak/>
        <w:t xml:space="preserve">Hasil pengecekan kualitas DNA dengan menggunakan gel elektroforesis 2% dengan </w:t>
      </w:r>
      <w:r w:rsidRPr="00EE640E">
        <w:rPr>
          <w:rFonts w:ascii="Arial" w:hAnsi="Arial" w:cs="Arial"/>
          <w:i/>
          <w:sz w:val="20"/>
          <w:szCs w:val="20"/>
        </w:rPr>
        <w:t>running</w:t>
      </w:r>
      <w:r w:rsidRPr="00EE640E">
        <w:rPr>
          <w:rFonts w:ascii="Arial" w:hAnsi="Arial" w:cs="Arial"/>
          <w:sz w:val="20"/>
          <w:szCs w:val="20"/>
        </w:rPr>
        <w:t xml:space="preserve"> selama 60 menit, voltase 90 V, dan kuat arus 500 mA menunjukkan hasil yang cukup memuaskan di mana DNA yang diperoleh terlihat utuh (Gambar </w:t>
      </w:r>
      <w:r w:rsidR="000269D0" w:rsidRPr="00EE640E">
        <w:rPr>
          <w:rFonts w:ascii="Arial" w:hAnsi="Arial" w:cs="Arial"/>
          <w:sz w:val="20"/>
          <w:szCs w:val="20"/>
        </w:rPr>
        <w:t>1</w:t>
      </w:r>
      <w:r w:rsidRPr="00EE640E">
        <w:rPr>
          <w:rFonts w:ascii="Arial" w:hAnsi="Arial" w:cs="Arial"/>
          <w:sz w:val="20"/>
          <w:szCs w:val="20"/>
        </w:rPr>
        <w:t xml:space="preserve">). DNA yang utuh ditandai dengan tidak </w:t>
      </w:r>
      <w:r w:rsidRPr="00EE640E">
        <w:rPr>
          <w:rFonts w:ascii="Arial" w:hAnsi="Arial" w:cs="Arial"/>
          <w:sz w:val="20"/>
          <w:szCs w:val="20"/>
        </w:rPr>
        <w:lastRenderedPageBreak/>
        <w:t xml:space="preserve">adanya </w:t>
      </w:r>
      <w:r w:rsidRPr="00EE640E">
        <w:rPr>
          <w:rFonts w:ascii="Arial" w:hAnsi="Arial" w:cs="Arial"/>
          <w:i/>
          <w:sz w:val="20"/>
          <w:szCs w:val="20"/>
        </w:rPr>
        <w:t>smear</w:t>
      </w:r>
      <w:r w:rsidRPr="00EE640E">
        <w:rPr>
          <w:rFonts w:ascii="Arial" w:hAnsi="Arial" w:cs="Arial"/>
          <w:sz w:val="20"/>
          <w:szCs w:val="20"/>
        </w:rPr>
        <w:t xml:space="preserve"> DNA yang dielektroforesis. Hal ini menjadi penting karena pada proses PCR, DNA yang masih utuh </w:t>
      </w:r>
      <w:proofErr w:type="gramStart"/>
      <w:r w:rsidRPr="00EE640E">
        <w:rPr>
          <w:rFonts w:ascii="Arial" w:hAnsi="Arial" w:cs="Arial"/>
          <w:sz w:val="20"/>
          <w:szCs w:val="20"/>
        </w:rPr>
        <w:t>akan</w:t>
      </w:r>
      <w:proofErr w:type="gramEnd"/>
      <w:r w:rsidRPr="00EE640E">
        <w:rPr>
          <w:rFonts w:ascii="Arial" w:hAnsi="Arial" w:cs="Arial"/>
          <w:sz w:val="20"/>
          <w:szCs w:val="20"/>
        </w:rPr>
        <w:t xml:space="preserve"> memberikan hasil yang relatif lebih akurat (Syafaruddin &amp; Tri, 2011).</w:t>
      </w:r>
    </w:p>
    <w:p w:rsidR="00424A41" w:rsidRPr="00424A41" w:rsidRDefault="00424A41" w:rsidP="00424A41">
      <w:pPr>
        <w:spacing w:after="0" w:line="240" w:lineRule="auto"/>
        <w:ind w:firstLine="567"/>
        <w:jc w:val="both"/>
        <w:rPr>
          <w:rFonts w:ascii="Times New Roman" w:hAnsi="Times New Roman"/>
        </w:rPr>
      </w:pPr>
    </w:p>
    <w:p w:rsidR="00EE640E" w:rsidRDefault="00EE640E" w:rsidP="00A97E46">
      <w:pPr>
        <w:spacing w:after="0" w:line="240" w:lineRule="auto"/>
        <w:rPr>
          <w:rFonts w:ascii="Times New Roman" w:hAnsi="Times New Roman"/>
          <w:b/>
        </w:rPr>
        <w:sectPr w:rsidR="00EE640E" w:rsidSect="00B8572A">
          <w:type w:val="continuous"/>
          <w:pgSz w:w="12240" w:h="15840"/>
          <w:pgMar w:top="1418" w:right="1418" w:bottom="1418" w:left="2268" w:header="720" w:footer="720" w:gutter="0"/>
          <w:cols w:num="2" w:space="720"/>
          <w:docGrid w:linePitch="360"/>
        </w:sectPr>
      </w:pPr>
    </w:p>
    <w:p w:rsidR="00EE640E" w:rsidRDefault="00EE640E" w:rsidP="00EE640E">
      <w:pPr>
        <w:spacing w:after="0" w:line="240" w:lineRule="auto"/>
        <w:jc w:val="center"/>
        <w:rPr>
          <w:rFonts w:ascii="Times New Roman" w:hAnsi="Times New Roman"/>
          <w:b/>
          <w:lang w:val="id-ID"/>
        </w:rPr>
      </w:pPr>
    </w:p>
    <w:p w:rsidR="00EE640E" w:rsidRDefault="00EE640E" w:rsidP="00EE640E">
      <w:pPr>
        <w:spacing w:after="0" w:line="240" w:lineRule="auto"/>
        <w:jc w:val="center"/>
        <w:rPr>
          <w:rFonts w:ascii="Times New Roman" w:hAnsi="Times New Roman"/>
          <w:b/>
          <w:lang w:val="id-ID"/>
        </w:rPr>
      </w:pPr>
    </w:p>
    <w:p w:rsidR="00EE640E" w:rsidRDefault="00EE640E" w:rsidP="00EE640E">
      <w:pPr>
        <w:spacing w:after="0" w:line="240" w:lineRule="auto"/>
        <w:jc w:val="center"/>
        <w:rPr>
          <w:rFonts w:ascii="Times New Roman" w:hAnsi="Times New Roman"/>
          <w:b/>
          <w:lang w:val="id-ID"/>
        </w:rPr>
      </w:pPr>
    </w:p>
    <w:p w:rsidR="00A97E46" w:rsidRPr="00EE640E" w:rsidRDefault="00A97E46" w:rsidP="00EE640E">
      <w:pPr>
        <w:spacing w:after="0" w:line="240" w:lineRule="auto"/>
        <w:jc w:val="center"/>
        <w:rPr>
          <w:rFonts w:ascii="Arial" w:hAnsi="Arial" w:cs="Arial"/>
          <w:b/>
          <w:sz w:val="20"/>
          <w:szCs w:val="20"/>
          <w:lang w:val="id-ID"/>
        </w:rPr>
      </w:pPr>
      <w:proofErr w:type="gramStart"/>
      <w:r w:rsidRPr="00EE640E">
        <w:rPr>
          <w:rFonts w:ascii="Arial" w:hAnsi="Arial" w:cs="Arial"/>
          <w:b/>
          <w:sz w:val="20"/>
          <w:szCs w:val="20"/>
        </w:rPr>
        <w:lastRenderedPageBreak/>
        <w:t xml:space="preserve">Tabel </w:t>
      </w:r>
      <w:r w:rsidR="0038654E" w:rsidRPr="00EE640E">
        <w:rPr>
          <w:rFonts w:ascii="Arial" w:hAnsi="Arial" w:cs="Arial"/>
          <w:b/>
          <w:sz w:val="20"/>
          <w:szCs w:val="20"/>
        </w:rPr>
        <w:t>3</w:t>
      </w:r>
      <w:r w:rsidRPr="00EE640E">
        <w:rPr>
          <w:rFonts w:ascii="Arial" w:hAnsi="Arial" w:cs="Arial"/>
          <w:b/>
          <w:sz w:val="20"/>
          <w:szCs w:val="20"/>
        </w:rPr>
        <w:t>.</w:t>
      </w:r>
      <w:proofErr w:type="gramEnd"/>
      <w:r w:rsidRPr="00EE640E">
        <w:rPr>
          <w:rFonts w:ascii="Arial" w:hAnsi="Arial" w:cs="Arial"/>
          <w:b/>
          <w:sz w:val="20"/>
          <w:szCs w:val="20"/>
        </w:rPr>
        <w:t xml:space="preserve"> Hasil Uji Kualitatif DNA Hasil Isolasi</w:t>
      </w:r>
    </w:p>
    <w:p w:rsidR="00EE640E" w:rsidRPr="00EE640E" w:rsidRDefault="00EE640E" w:rsidP="00EE640E">
      <w:pPr>
        <w:spacing w:after="0" w:line="240" w:lineRule="auto"/>
        <w:jc w:val="center"/>
        <w:rPr>
          <w:rFonts w:ascii="Arial" w:hAnsi="Arial" w:cs="Arial"/>
          <w:b/>
          <w:sz w:val="20"/>
          <w:szCs w:val="20"/>
          <w:lang w:val="id-ID"/>
        </w:rPr>
      </w:pPr>
    </w:p>
    <w:tbl>
      <w:tblPr>
        <w:tblW w:w="5706" w:type="dxa"/>
        <w:jc w:val="center"/>
        <w:tblInd w:w="-1345" w:type="dxa"/>
        <w:tblBorders>
          <w:top w:val="single" w:sz="4" w:space="0" w:color="auto"/>
          <w:bottom w:val="single" w:sz="4" w:space="0" w:color="auto"/>
        </w:tblBorders>
        <w:tblLayout w:type="fixed"/>
        <w:tblLook w:val="04A0" w:firstRow="1" w:lastRow="0" w:firstColumn="1" w:lastColumn="0" w:noHBand="0" w:noVBand="1"/>
      </w:tblPr>
      <w:tblGrid>
        <w:gridCol w:w="703"/>
        <w:gridCol w:w="2735"/>
        <w:gridCol w:w="1134"/>
        <w:gridCol w:w="1134"/>
      </w:tblGrid>
      <w:tr w:rsidR="00A97E46" w:rsidRPr="00EE640E" w:rsidTr="00EE640E">
        <w:trPr>
          <w:jc w:val="center"/>
        </w:trPr>
        <w:tc>
          <w:tcPr>
            <w:tcW w:w="703" w:type="dxa"/>
            <w:tcBorders>
              <w:top w:val="single" w:sz="4" w:space="0" w:color="auto"/>
              <w:bottom w:val="nil"/>
            </w:tcBorders>
          </w:tcPr>
          <w:p w:rsidR="00A97E46" w:rsidRPr="00EE640E" w:rsidRDefault="00A97E46" w:rsidP="00EE640E">
            <w:pPr>
              <w:spacing w:after="0" w:line="240" w:lineRule="auto"/>
              <w:ind w:left="-108"/>
              <w:jc w:val="center"/>
              <w:rPr>
                <w:rFonts w:ascii="Arial" w:hAnsi="Arial" w:cs="Arial"/>
                <w:b/>
                <w:sz w:val="20"/>
                <w:szCs w:val="20"/>
              </w:rPr>
            </w:pPr>
            <w:r w:rsidRPr="00EE640E">
              <w:rPr>
                <w:rFonts w:ascii="Arial" w:hAnsi="Arial" w:cs="Arial"/>
                <w:b/>
                <w:sz w:val="20"/>
                <w:szCs w:val="20"/>
              </w:rPr>
              <w:t>No</w:t>
            </w:r>
          </w:p>
        </w:tc>
        <w:tc>
          <w:tcPr>
            <w:tcW w:w="2735" w:type="dxa"/>
            <w:tcBorders>
              <w:top w:val="single" w:sz="4" w:space="0" w:color="auto"/>
              <w:bottom w:val="nil"/>
            </w:tcBorders>
          </w:tcPr>
          <w:p w:rsidR="00A97E46" w:rsidRPr="00EE640E" w:rsidRDefault="00A97E46" w:rsidP="00EE640E">
            <w:pPr>
              <w:spacing w:after="0" w:line="240" w:lineRule="auto"/>
              <w:ind w:left="34"/>
              <w:jc w:val="center"/>
              <w:rPr>
                <w:rFonts w:ascii="Arial" w:hAnsi="Arial" w:cs="Arial"/>
                <w:b/>
                <w:sz w:val="20"/>
                <w:szCs w:val="20"/>
              </w:rPr>
            </w:pPr>
            <w:r w:rsidRPr="00EE640E">
              <w:rPr>
                <w:rFonts w:ascii="Arial" w:hAnsi="Arial" w:cs="Arial"/>
                <w:b/>
                <w:sz w:val="20"/>
                <w:szCs w:val="20"/>
              </w:rPr>
              <w:t>Konsentrasi DNA (ng/µl)</w:t>
            </w:r>
          </w:p>
        </w:tc>
        <w:tc>
          <w:tcPr>
            <w:tcW w:w="2268" w:type="dxa"/>
            <w:gridSpan w:val="2"/>
            <w:tcBorders>
              <w:top w:val="single" w:sz="4" w:space="0" w:color="auto"/>
              <w:bottom w:val="single" w:sz="4" w:space="0" w:color="auto"/>
            </w:tcBorders>
          </w:tcPr>
          <w:p w:rsidR="00A97E46" w:rsidRPr="00EE640E" w:rsidRDefault="00A97E46" w:rsidP="00EE640E">
            <w:pPr>
              <w:spacing w:after="0" w:line="240" w:lineRule="auto"/>
              <w:ind w:left="34"/>
              <w:jc w:val="center"/>
              <w:rPr>
                <w:rFonts w:ascii="Arial" w:hAnsi="Arial" w:cs="Arial"/>
                <w:b/>
                <w:sz w:val="20"/>
                <w:szCs w:val="20"/>
              </w:rPr>
            </w:pPr>
            <w:r w:rsidRPr="00EE640E">
              <w:rPr>
                <w:rFonts w:ascii="Arial" w:hAnsi="Arial" w:cs="Arial"/>
                <w:b/>
                <w:sz w:val="20"/>
                <w:szCs w:val="20"/>
              </w:rPr>
              <w:t>Kemurnian DNA</w:t>
            </w:r>
          </w:p>
        </w:tc>
      </w:tr>
      <w:tr w:rsidR="00A97E46" w:rsidRPr="00EE640E" w:rsidTr="00EE640E">
        <w:trPr>
          <w:jc w:val="center"/>
        </w:trPr>
        <w:tc>
          <w:tcPr>
            <w:tcW w:w="703" w:type="dxa"/>
            <w:tcBorders>
              <w:top w:val="nil"/>
              <w:bottom w:val="single" w:sz="4" w:space="0" w:color="auto"/>
            </w:tcBorders>
          </w:tcPr>
          <w:p w:rsidR="00A97E46" w:rsidRPr="00EE640E" w:rsidRDefault="00A97E46" w:rsidP="00EE640E">
            <w:pPr>
              <w:spacing w:after="0" w:line="240" w:lineRule="auto"/>
              <w:ind w:left="-108"/>
              <w:jc w:val="center"/>
              <w:rPr>
                <w:rFonts w:ascii="Arial" w:hAnsi="Arial" w:cs="Arial"/>
                <w:b/>
                <w:sz w:val="20"/>
                <w:szCs w:val="20"/>
              </w:rPr>
            </w:pPr>
          </w:p>
        </w:tc>
        <w:tc>
          <w:tcPr>
            <w:tcW w:w="2735" w:type="dxa"/>
            <w:tcBorders>
              <w:top w:val="nil"/>
              <w:bottom w:val="single" w:sz="4" w:space="0" w:color="auto"/>
            </w:tcBorders>
          </w:tcPr>
          <w:p w:rsidR="00A97E46" w:rsidRPr="00EE640E" w:rsidRDefault="00A97E46" w:rsidP="00EE640E">
            <w:pPr>
              <w:spacing w:after="0" w:line="240" w:lineRule="auto"/>
              <w:ind w:left="34"/>
              <w:jc w:val="center"/>
              <w:rPr>
                <w:rFonts w:ascii="Arial" w:hAnsi="Arial" w:cs="Arial"/>
                <w:b/>
                <w:sz w:val="20"/>
                <w:szCs w:val="20"/>
              </w:rPr>
            </w:pPr>
          </w:p>
        </w:tc>
        <w:tc>
          <w:tcPr>
            <w:tcW w:w="1134" w:type="dxa"/>
            <w:tcBorders>
              <w:top w:val="single" w:sz="4" w:space="0" w:color="auto"/>
              <w:bottom w:val="single" w:sz="4" w:space="0" w:color="auto"/>
            </w:tcBorders>
          </w:tcPr>
          <w:p w:rsidR="00A97E46" w:rsidRPr="00EE640E" w:rsidRDefault="00A97E46" w:rsidP="00EE640E">
            <w:pPr>
              <w:spacing w:after="0" w:line="240" w:lineRule="auto"/>
              <w:ind w:left="34"/>
              <w:jc w:val="center"/>
              <w:rPr>
                <w:rFonts w:ascii="Arial" w:hAnsi="Arial" w:cs="Arial"/>
                <w:b/>
                <w:sz w:val="20"/>
                <w:szCs w:val="20"/>
              </w:rPr>
            </w:pPr>
            <w:r w:rsidRPr="00EE640E">
              <w:rPr>
                <w:rFonts w:ascii="Arial" w:hAnsi="Arial" w:cs="Arial"/>
                <w:b/>
                <w:sz w:val="20"/>
                <w:szCs w:val="20"/>
              </w:rPr>
              <w:t>A260/280</w:t>
            </w:r>
          </w:p>
        </w:tc>
        <w:tc>
          <w:tcPr>
            <w:tcW w:w="1134" w:type="dxa"/>
            <w:tcBorders>
              <w:top w:val="single" w:sz="4" w:space="0" w:color="auto"/>
              <w:bottom w:val="single" w:sz="4" w:space="0" w:color="auto"/>
            </w:tcBorders>
          </w:tcPr>
          <w:p w:rsidR="00A97E46" w:rsidRPr="00EE640E" w:rsidRDefault="00A97E46" w:rsidP="00EE640E">
            <w:pPr>
              <w:spacing w:after="0" w:line="240" w:lineRule="auto"/>
              <w:ind w:left="34"/>
              <w:jc w:val="center"/>
              <w:rPr>
                <w:rFonts w:ascii="Arial" w:hAnsi="Arial" w:cs="Arial"/>
                <w:b/>
                <w:sz w:val="20"/>
                <w:szCs w:val="20"/>
              </w:rPr>
            </w:pPr>
            <w:r w:rsidRPr="00EE640E">
              <w:rPr>
                <w:rFonts w:ascii="Arial" w:hAnsi="Arial" w:cs="Arial"/>
                <w:b/>
                <w:sz w:val="20"/>
                <w:szCs w:val="20"/>
              </w:rPr>
              <w:t>A260/230</w:t>
            </w:r>
          </w:p>
        </w:tc>
      </w:tr>
      <w:tr w:rsidR="00A97E46" w:rsidRPr="00EE640E" w:rsidTr="00EE640E">
        <w:trPr>
          <w:jc w:val="center"/>
        </w:trPr>
        <w:tc>
          <w:tcPr>
            <w:tcW w:w="703" w:type="dxa"/>
            <w:tcBorders>
              <w:top w:val="single" w:sz="4" w:space="0" w:color="auto"/>
            </w:tcBorders>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1</w:t>
            </w:r>
          </w:p>
        </w:tc>
        <w:tc>
          <w:tcPr>
            <w:tcW w:w="2735" w:type="dxa"/>
            <w:tcBorders>
              <w:top w:val="single" w:sz="4" w:space="0" w:color="auto"/>
            </w:tcBorders>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44,5</w:t>
            </w:r>
          </w:p>
        </w:tc>
        <w:tc>
          <w:tcPr>
            <w:tcW w:w="1134" w:type="dxa"/>
            <w:tcBorders>
              <w:top w:val="single" w:sz="4" w:space="0" w:color="auto"/>
            </w:tcBorders>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Borders>
              <w:top w:val="single" w:sz="4" w:space="0" w:color="auto"/>
            </w:tcBorders>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0,960</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2</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42,5</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1,848</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1,000</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3</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106</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1,819</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0,214</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4</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81,0</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2,104</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0,623</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5</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12,0</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0,279</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6</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67,5</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7</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31,5</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1,853</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0,232</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8</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17,5</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1,944</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0,593</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9</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21,5</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10</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16,0</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2,00</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0,348</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11</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88,0</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1,386</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0,127</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12</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15,5</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0,193</w:t>
            </w:r>
          </w:p>
        </w:tc>
      </w:tr>
      <w:tr w:rsidR="00A97E46" w:rsidRPr="00EE640E" w:rsidTr="00EE640E">
        <w:trPr>
          <w:jc w:val="center"/>
        </w:trPr>
        <w:tc>
          <w:tcPr>
            <w:tcW w:w="703" w:type="dxa"/>
          </w:tcPr>
          <w:p w:rsidR="00A97E46" w:rsidRPr="00EE640E" w:rsidRDefault="00A97E46" w:rsidP="00EE640E">
            <w:pPr>
              <w:spacing w:after="0" w:line="240" w:lineRule="auto"/>
              <w:ind w:left="-108"/>
              <w:jc w:val="center"/>
              <w:rPr>
                <w:rFonts w:ascii="Arial" w:hAnsi="Arial" w:cs="Arial"/>
                <w:sz w:val="20"/>
                <w:szCs w:val="20"/>
              </w:rPr>
            </w:pPr>
            <w:r w:rsidRPr="00EE640E">
              <w:rPr>
                <w:rFonts w:ascii="Arial" w:hAnsi="Arial" w:cs="Arial"/>
                <w:sz w:val="20"/>
                <w:szCs w:val="20"/>
              </w:rPr>
              <w:t>13</w:t>
            </w:r>
          </w:p>
        </w:tc>
        <w:tc>
          <w:tcPr>
            <w:tcW w:w="2735"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34,5</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1,769</w:t>
            </w:r>
          </w:p>
        </w:tc>
        <w:tc>
          <w:tcPr>
            <w:tcW w:w="1134" w:type="dxa"/>
          </w:tcPr>
          <w:p w:rsidR="00A97E46" w:rsidRPr="00EE640E" w:rsidRDefault="00A97E46" w:rsidP="00EE640E">
            <w:pPr>
              <w:spacing w:after="0" w:line="240" w:lineRule="auto"/>
              <w:ind w:left="34"/>
              <w:jc w:val="center"/>
              <w:rPr>
                <w:rFonts w:ascii="Arial" w:hAnsi="Arial" w:cs="Arial"/>
                <w:sz w:val="20"/>
                <w:szCs w:val="20"/>
              </w:rPr>
            </w:pPr>
            <w:r w:rsidRPr="00EE640E">
              <w:rPr>
                <w:rFonts w:ascii="Arial" w:hAnsi="Arial" w:cs="Arial"/>
                <w:sz w:val="20"/>
                <w:szCs w:val="20"/>
              </w:rPr>
              <w:t>0,639</w:t>
            </w:r>
          </w:p>
        </w:tc>
      </w:tr>
      <w:tr w:rsidR="00F9600C" w:rsidRPr="00EE640E" w:rsidTr="00EE640E">
        <w:trPr>
          <w:jc w:val="center"/>
        </w:trPr>
        <w:tc>
          <w:tcPr>
            <w:tcW w:w="703" w:type="dxa"/>
          </w:tcPr>
          <w:p w:rsidR="00F9600C" w:rsidRPr="00EE640E" w:rsidRDefault="00F9600C" w:rsidP="00EE640E">
            <w:pPr>
              <w:spacing w:after="0" w:line="240" w:lineRule="auto"/>
              <w:ind w:left="-108"/>
              <w:jc w:val="center"/>
              <w:rPr>
                <w:rFonts w:ascii="Arial" w:hAnsi="Arial" w:cs="Arial"/>
                <w:sz w:val="20"/>
                <w:szCs w:val="20"/>
              </w:rPr>
            </w:pPr>
            <w:r w:rsidRPr="00EE640E">
              <w:rPr>
                <w:rFonts w:ascii="Arial" w:hAnsi="Arial" w:cs="Arial"/>
                <w:sz w:val="20"/>
                <w:szCs w:val="20"/>
              </w:rPr>
              <w:t>14</w:t>
            </w:r>
          </w:p>
        </w:tc>
        <w:tc>
          <w:tcPr>
            <w:tcW w:w="2735"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42,5</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r>
      <w:tr w:rsidR="00F9600C" w:rsidRPr="00EE640E" w:rsidTr="00EE640E">
        <w:trPr>
          <w:jc w:val="center"/>
        </w:trPr>
        <w:tc>
          <w:tcPr>
            <w:tcW w:w="703" w:type="dxa"/>
          </w:tcPr>
          <w:p w:rsidR="00F9600C" w:rsidRPr="00EE640E" w:rsidRDefault="00F9600C" w:rsidP="00EE640E">
            <w:pPr>
              <w:spacing w:after="0" w:line="240" w:lineRule="auto"/>
              <w:ind w:left="-108"/>
              <w:jc w:val="center"/>
              <w:rPr>
                <w:rFonts w:ascii="Arial" w:hAnsi="Arial" w:cs="Arial"/>
                <w:sz w:val="20"/>
                <w:szCs w:val="20"/>
              </w:rPr>
            </w:pPr>
            <w:r w:rsidRPr="00EE640E">
              <w:rPr>
                <w:rFonts w:ascii="Arial" w:hAnsi="Arial" w:cs="Arial"/>
                <w:sz w:val="20"/>
                <w:szCs w:val="20"/>
              </w:rPr>
              <w:t>15</w:t>
            </w:r>
          </w:p>
        </w:tc>
        <w:tc>
          <w:tcPr>
            <w:tcW w:w="2735"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63,5</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2,268</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0,136</w:t>
            </w:r>
          </w:p>
        </w:tc>
      </w:tr>
      <w:tr w:rsidR="00F9600C" w:rsidRPr="00EE640E" w:rsidTr="00EE640E">
        <w:trPr>
          <w:jc w:val="center"/>
        </w:trPr>
        <w:tc>
          <w:tcPr>
            <w:tcW w:w="703" w:type="dxa"/>
          </w:tcPr>
          <w:p w:rsidR="00F9600C" w:rsidRPr="00EE640E" w:rsidRDefault="00F9600C" w:rsidP="00EE640E">
            <w:pPr>
              <w:spacing w:after="0" w:line="240" w:lineRule="auto"/>
              <w:ind w:left="-108"/>
              <w:jc w:val="center"/>
              <w:rPr>
                <w:rFonts w:ascii="Arial" w:hAnsi="Arial" w:cs="Arial"/>
                <w:sz w:val="20"/>
                <w:szCs w:val="20"/>
              </w:rPr>
            </w:pPr>
            <w:r w:rsidRPr="00EE640E">
              <w:rPr>
                <w:rFonts w:ascii="Arial" w:hAnsi="Arial" w:cs="Arial"/>
                <w:sz w:val="20"/>
                <w:szCs w:val="20"/>
              </w:rPr>
              <w:t>16</w:t>
            </w:r>
          </w:p>
        </w:tc>
        <w:tc>
          <w:tcPr>
            <w:tcW w:w="2735"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27,0</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r>
      <w:tr w:rsidR="00F9600C" w:rsidRPr="00EE640E" w:rsidTr="00EE640E">
        <w:trPr>
          <w:jc w:val="center"/>
        </w:trPr>
        <w:tc>
          <w:tcPr>
            <w:tcW w:w="703" w:type="dxa"/>
          </w:tcPr>
          <w:p w:rsidR="00F9600C" w:rsidRPr="00EE640E" w:rsidRDefault="00F9600C" w:rsidP="00EE640E">
            <w:pPr>
              <w:spacing w:after="0" w:line="240" w:lineRule="auto"/>
              <w:ind w:left="-108"/>
              <w:jc w:val="center"/>
              <w:rPr>
                <w:rFonts w:ascii="Arial" w:hAnsi="Arial" w:cs="Arial"/>
                <w:sz w:val="20"/>
                <w:szCs w:val="20"/>
              </w:rPr>
            </w:pPr>
            <w:r w:rsidRPr="00EE640E">
              <w:rPr>
                <w:rFonts w:ascii="Arial" w:hAnsi="Arial" w:cs="Arial"/>
                <w:sz w:val="20"/>
                <w:szCs w:val="20"/>
              </w:rPr>
              <w:t>17</w:t>
            </w:r>
          </w:p>
        </w:tc>
        <w:tc>
          <w:tcPr>
            <w:tcW w:w="2735"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42,0</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0,158</w:t>
            </w:r>
          </w:p>
        </w:tc>
      </w:tr>
      <w:tr w:rsidR="00F9600C" w:rsidRPr="00EE640E" w:rsidTr="00EE640E">
        <w:trPr>
          <w:jc w:val="center"/>
        </w:trPr>
        <w:tc>
          <w:tcPr>
            <w:tcW w:w="703" w:type="dxa"/>
          </w:tcPr>
          <w:p w:rsidR="00F9600C" w:rsidRPr="00EE640E" w:rsidRDefault="00F9600C" w:rsidP="00EE640E">
            <w:pPr>
              <w:spacing w:after="0" w:line="240" w:lineRule="auto"/>
              <w:ind w:left="-108"/>
              <w:jc w:val="center"/>
              <w:rPr>
                <w:rFonts w:ascii="Arial" w:hAnsi="Arial" w:cs="Arial"/>
                <w:sz w:val="20"/>
                <w:szCs w:val="20"/>
              </w:rPr>
            </w:pPr>
            <w:r w:rsidRPr="00EE640E">
              <w:rPr>
                <w:rFonts w:ascii="Arial" w:hAnsi="Arial" w:cs="Arial"/>
                <w:sz w:val="20"/>
                <w:szCs w:val="20"/>
              </w:rPr>
              <w:t>18</w:t>
            </w:r>
          </w:p>
        </w:tc>
        <w:tc>
          <w:tcPr>
            <w:tcW w:w="2735"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9,5</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2,375</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0,352</w:t>
            </w:r>
          </w:p>
        </w:tc>
      </w:tr>
      <w:tr w:rsidR="00F9600C" w:rsidRPr="00EE640E" w:rsidTr="00EE640E">
        <w:trPr>
          <w:jc w:val="center"/>
        </w:trPr>
        <w:tc>
          <w:tcPr>
            <w:tcW w:w="703" w:type="dxa"/>
          </w:tcPr>
          <w:p w:rsidR="00F9600C" w:rsidRPr="00EE640E" w:rsidRDefault="00F9600C" w:rsidP="00EE640E">
            <w:pPr>
              <w:spacing w:after="0" w:line="240" w:lineRule="auto"/>
              <w:ind w:left="-108"/>
              <w:jc w:val="center"/>
              <w:rPr>
                <w:rFonts w:ascii="Arial" w:hAnsi="Arial" w:cs="Arial"/>
                <w:sz w:val="20"/>
                <w:szCs w:val="20"/>
              </w:rPr>
            </w:pPr>
            <w:r w:rsidRPr="00EE640E">
              <w:rPr>
                <w:rFonts w:ascii="Arial" w:hAnsi="Arial" w:cs="Arial"/>
                <w:sz w:val="20"/>
                <w:szCs w:val="20"/>
              </w:rPr>
              <w:t>19</w:t>
            </w:r>
          </w:p>
        </w:tc>
        <w:tc>
          <w:tcPr>
            <w:tcW w:w="2735"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87,0</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1,464</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0,179</w:t>
            </w:r>
          </w:p>
        </w:tc>
      </w:tr>
      <w:tr w:rsidR="00F9600C" w:rsidRPr="00EE640E" w:rsidTr="00EE640E">
        <w:trPr>
          <w:jc w:val="center"/>
        </w:trPr>
        <w:tc>
          <w:tcPr>
            <w:tcW w:w="703" w:type="dxa"/>
          </w:tcPr>
          <w:p w:rsidR="00F9600C" w:rsidRPr="00EE640E" w:rsidRDefault="00F9600C" w:rsidP="00EE640E">
            <w:pPr>
              <w:spacing w:after="0" w:line="240" w:lineRule="auto"/>
              <w:ind w:left="-108"/>
              <w:jc w:val="center"/>
              <w:rPr>
                <w:rFonts w:ascii="Arial" w:hAnsi="Arial" w:cs="Arial"/>
                <w:sz w:val="20"/>
                <w:szCs w:val="20"/>
              </w:rPr>
            </w:pPr>
            <w:r w:rsidRPr="00EE640E">
              <w:rPr>
                <w:rFonts w:ascii="Arial" w:hAnsi="Arial" w:cs="Arial"/>
                <w:sz w:val="20"/>
                <w:szCs w:val="20"/>
              </w:rPr>
              <w:t>20</w:t>
            </w:r>
          </w:p>
        </w:tc>
        <w:tc>
          <w:tcPr>
            <w:tcW w:w="2735"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81,5</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0,604</w:t>
            </w:r>
          </w:p>
        </w:tc>
      </w:tr>
      <w:tr w:rsidR="00F9600C" w:rsidRPr="00EE640E" w:rsidTr="00EE640E">
        <w:trPr>
          <w:jc w:val="center"/>
        </w:trPr>
        <w:tc>
          <w:tcPr>
            <w:tcW w:w="703" w:type="dxa"/>
          </w:tcPr>
          <w:p w:rsidR="00F9600C" w:rsidRPr="00EE640E" w:rsidRDefault="00F9600C" w:rsidP="00EE640E">
            <w:pPr>
              <w:spacing w:after="0" w:line="240" w:lineRule="auto"/>
              <w:ind w:left="-108"/>
              <w:jc w:val="center"/>
              <w:rPr>
                <w:rFonts w:ascii="Arial" w:hAnsi="Arial" w:cs="Arial"/>
                <w:sz w:val="20"/>
                <w:szCs w:val="20"/>
              </w:rPr>
            </w:pPr>
            <w:r w:rsidRPr="00EE640E">
              <w:rPr>
                <w:rFonts w:ascii="Arial" w:hAnsi="Arial" w:cs="Arial"/>
                <w:sz w:val="20"/>
                <w:szCs w:val="20"/>
              </w:rPr>
              <w:t>21</w:t>
            </w:r>
          </w:p>
        </w:tc>
        <w:tc>
          <w:tcPr>
            <w:tcW w:w="2735"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68,5</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c>
          <w:tcPr>
            <w:tcW w:w="1134" w:type="dxa"/>
          </w:tcPr>
          <w:p w:rsidR="00F9600C" w:rsidRPr="00EE640E" w:rsidRDefault="00F9600C" w:rsidP="00EE640E">
            <w:pPr>
              <w:spacing w:after="0" w:line="240" w:lineRule="auto"/>
              <w:ind w:left="34"/>
              <w:jc w:val="center"/>
              <w:rPr>
                <w:rFonts w:ascii="Arial" w:hAnsi="Arial" w:cs="Arial"/>
                <w:sz w:val="20"/>
                <w:szCs w:val="20"/>
              </w:rPr>
            </w:pPr>
            <w:r w:rsidRPr="00EE640E">
              <w:rPr>
                <w:rFonts w:ascii="Arial" w:hAnsi="Arial" w:cs="Arial"/>
                <w:sz w:val="20"/>
                <w:szCs w:val="20"/>
              </w:rPr>
              <w:t>-</w:t>
            </w:r>
          </w:p>
        </w:tc>
      </w:tr>
      <w:tr w:rsidR="00F9600C" w:rsidRPr="00EE640E" w:rsidTr="00EE640E">
        <w:trPr>
          <w:jc w:val="center"/>
        </w:trPr>
        <w:tc>
          <w:tcPr>
            <w:tcW w:w="703" w:type="dxa"/>
          </w:tcPr>
          <w:p w:rsidR="00F9600C" w:rsidRPr="00EE640E" w:rsidRDefault="00F9600C" w:rsidP="00EE640E">
            <w:pPr>
              <w:spacing w:after="0" w:line="240" w:lineRule="auto"/>
              <w:ind w:left="-108"/>
              <w:jc w:val="center"/>
              <w:rPr>
                <w:rFonts w:ascii="Arial" w:hAnsi="Arial" w:cs="Arial"/>
                <w:sz w:val="20"/>
                <w:szCs w:val="20"/>
              </w:rPr>
            </w:pPr>
            <w:r w:rsidRPr="00EE640E">
              <w:rPr>
                <w:rFonts w:ascii="Arial" w:hAnsi="Arial" w:cs="Arial"/>
                <w:sz w:val="20"/>
                <w:szCs w:val="20"/>
              </w:rPr>
              <w:t>22</w:t>
            </w:r>
          </w:p>
        </w:tc>
        <w:tc>
          <w:tcPr>
            <w:tcW w:w="2735" w:type="dxa"/>
          </w:tcPr>
          <w:p w:rsidR="00F9600C" w:rsidRPr="00EE640E" w:rsidRDefault="00F9600C" w:rsidP="00EE640E">
            <w:pPr>
              <w:spacing w:after="0"/>
              <w:ind w:left="34"/>
              <w:jc w:val="center"/>
              <w:rPr>
                <w:rFonts w:ascii="Arial" w:hAnsi="Arial" w:cs="Arial"/>
                <w:sz w:val="20"/>
                <w:szCs w:val="20"/>
              </w:rPr>
            </w:pPr>
            <w:r w:rsidRPr="00EE640E">
              <w:rPr>
                <w:rFonts w:ascii="Arial" w:hAnsi="Arial" w:cs="Arial"/>
                <w:sz w:val="20"/>
                <w:szCs w:val="20"/>
              </w:rPr>
              <w:t>120</w:t>
            </w:r>
          </w:p>
        </w:tc>
        <w:tc>
          <w:tcPr>
            <w:tcW w:w="1134" w:type="dxa"/>
          </w:tcPr>
          <w:p w:rsidR="00F9600C" w:rsidRPr="00EE640E" w:rsidRDefault="00F9600C" w:rsidP="00EE640E">
            <w:pPr>
              <w:spacing w:after="0"/>
              <w:ind w:left="12"/>
              <w:jc w:val="center"/>
              <w:rPr>
                <w:rFonts w:ascii="Arial" w:hAnsi="Arial" w:cs="Arial"/>
                <w:sz w:val="20"/>
                <w:szCs w:val="20"/>
              </w:rPr>
            </w:pPr>
            <w:r w:rsidRPr="00EE640E">
              <w:rPr>
                <w:rFonts w:ascii="Arial" w:hAnsi="Arial" w:cs="Arial"/>
                <w:sz w:val="20"/>
                <w:szCs w:val="20"/>
              </w:rPr>
              <w:t>1,391</w:t>
            </w:r>
          </w:p>
        </w:tc>
        <w:tc>
          <w:tcPr>
            <w:tcW w:w="1134" w:type="dxa"/>
          </w:tcPr>
          <w:p w:rsidR="00F9600C" w:rsidRPr="00EE640E" w:rsidRDefault="00F9600C" w:rsidP="00EE640E">
            <w:pPr>
              <w:spacing w:after="0"/>
              <w:ind w:left="35"/>
              <w:jc w:val="center"/>
              <w:rPr>
                <w:rFonts w:ascii="Arial" w:hAnsi="Arial" w:cs="Arial"/>
                <w:sz w:val="20"/>
                <w:szCs w:val="20"/>
              </w:rPr>
            </w:pPr>
            <w:r w:rsidRPr="00EE640E">
              <w:rPr>
                <w:rFonts w:ascii="Arial" w:hAnsi="Arial" w:cs="Arial"/>
                <w:sz w:val="20"/>
                <w:szCs w:val="20"/>
              </w:rPr>
              <w:t>0,423</w:t>
            </w:r>
          </w:p>
        </w:tc>
      </w:tr>
    </w:tbl>
    <w:p w:rsidR="00F9600C" w:rsidRDefault="00F9600C" w:rsidP="00EE640E">
      <w:pPr>
        <w:pStyle w:val="ListParagraph"/>
        <w:tabs>
          <w:tab w:val="left" w:pos="426"/>
        </w:tabs>
        <w:spacing w:after="0" w:line="240" w:lineRule="auto"/>
        <w:ind w:left="0" w:firstLine="567"/>
        <w:jc w:val="center"/>
        <w:rPr>
          <w:rFonts w:ascii="Times New Roman" w:hAnsi="Times New Roman"/>
        </w:rPr>
      </w:pPr>
    </w:p>
    <w:p w:rsidR="00EE640E" w:rsidRDefault="00EE640E" w:rsidP="00A75755">
      <w:pPr>
        <w:pStyle w:val="ListParagraph"/>
        <w:tabs>
          <w:tab w:val="left" w:pos="426"/>
        </w:tabs>
        <w:spacing w:after="0" w:line="240" w:lineRule="auto"/>
        <w:ind w:left="0" w:firstLine="567"/>
        <w:jc w:val="both"/>
        <w:rPr>
          <w:rFonts w:ascii="Times New Roman" w:hAnsi="Times New Roman"/>
        </w:rPr>
        <w:sectPr w:rsidR="00EE640E" w:rsidSect="00EE640E">
          <w:type w:val="continuous"/>
          <w:pgSz w:w="12240" w:h="15840"/>
          <w:pgMar w:top="1418" w:right="1418" w:bottom="1418" w:left="2268" w:header="720" w:footer="720" w:gutter="0"/>
          <w:cols w:space="720"/>
          <w:docGrid w:linePitch="360"/>
        </w:sectPr>
      </w:pPr>
    </w:p>
    <w:p w:rsidR="00115F54" w:rsidRPr="00EE640E" w:rsidRDefault="00424A41" w:rsidP="00EE640E">
      <w:pPr>
        <w:pStyle w:val="ListParagraph"/>
        <w:tabs>
          <w:tab w:val="left" w:pos="426"/>
        </w:tabs>
        <w:spacing w:after="0" w:line="240" w:lineRule="auto"/>
        <w:ind w:left="0" w:firstLine="426"/>
        <w:jc w:val="both"/>
        <w:rPr>
          <w:rFonts w:ascii="Arial" w:hAnsi="Arial" w:cs="Arial"/>
          <w:sz w:val="20"/>
          <w:szCs w:val="20"/>
        </w:rPr>
      </w:pPr>
      <w:proofErr w:type="gramStart"/>
      <w:r w:rsidRPr="00EE640E">
        <w:rPr>
          <w:rFonts w:ascii="Arial" w:hAnsi="Arial" w:cs="Arial"/>
          <w:sz w:val="20"/>
          <w:szCs w:val="20"/>
        </w:rPr>
        <w:lastRenderedPageBreak/>
        <w:t>Kuantifikasi sampel DNA dilakukan untuk melihat konsentrasi dan kemurnian DNA.</w:t>
      </w:r>
      <w:proofErr w:type="gramEnd"/>
      <w:r w:rsidRPr="00EE640E">
        <w:rPr>
          <w:rFonts w:ascii="Arial" w:hAnsi="Arial" w:cs="Arial"/>
          <w:sz w:val="20"/>
          <w:szCs w:val="20"/>
        </w:rPr>
        <w:t xml:space="preserve"> </w:t>
      </w:r>
      <w:proofErr w:type="gramStart"/>
      <w:r w:rsidR="00115F54" w:rsidRPr="00EE640E">
        <w:rPr>
          <w:rFonts w:ascii="Arial" w:hAnsi="Arial" w:cs="Arial"/>
          <w:sz w:val="20"/>
          <w:szCs w:val="20"/>
        </w:rPr>
        <w:t>DNA hasil isolasi kemudian diuji secara kuantitatif dengan menggunakan spektrofotometer nanodrop</w:t>
      </w:r>
      <w:r w:rsidR="00A97E46" w:rsidRPr="00EE640E">
        <w:rPr>
          <w:rFonts w:ascii="Arial" w:hAnsi="Arial" w:cs="Arial"/>
          <w:sz w:val="20"/>
          <w:szCs w:val="20"/>
        </w:rPr>
        <w:t xml:space="preserve"> (Tabel </w:t>
      </w:r>
      <w:r w:rsidR="0038654E" w:rsidRPr="00EE640E">
        <w:rPr>
          <w:rFonts w:ascii="Arial" w:hAnsi="Arial" w:cs="Arial"/>
          <w:sz w:val="20"/>
          <w:szCs w:val="20"/>
        </w:rPr>
        <w:t>3</w:t>
      </w:r>
      <w:r w:rsidR="00A97E46" w:rsidRPr="00EE640E">
        <w:rPr>
          <w:rFonts w:ascii="Arial" w:hAnsi="Arial" w:cs="Arial"/>
          <w:sz w:val="20"/>
          <w:szCs w:val="20"/>
        </w:rPr>
        <w:t>)</w:t>
      </w:r>
      <w:r w:rsidR="00115F54" w:rsidRPr="00EE640E">
        <w:rPr>
          <w:rFonts w:ascii="Arial" w:hAnsi="Arial" w:cs="Arial"/>
          <w:sz w:val="20"/>
          <w:szCs w:val="20"/>
        </w:rPr>
        <w:t>.</w:t>
      </w:r>
      <w:proofErr w:type="gramEnd"/>
      <w:r w:rsidR="00115F54" w:rsidRPr="00EE640E">
        <w:rPr>
          <w:rFonts w:ascii="Arial" w:hAnsi="Arial" w:cs="Arial"/>
          <w:sz w:val="20"/>
          <w:szCs w:val="20"/>
        </w:rPr>
        <w:t xml:space="preserve"> </w:t>
      </w:r>
      <w:proofErr w:type="gramStart"/>
      <w:r w:rsidR="00115F54" w:rsidRPr="00EE640E">
        <w:rPr>
          <w:rFonts w:ascii="Arial" w:hAnsi="Arial" w:cs="Arial"/>
          <w:sz w:val="20"/>
          <w:szCs w:val="20"/>
        </w:rPr>
        <w:t>Kuantifikasi ini dilakukan untuk melihat konsentrasi dan kemurnian DNA.</w:t>
      </w:r>
      <w:proofErr w:type="gramEnd"/>
      <w:r w:rsidR="00115F54" w:rsidRPr="00EE640E">
        <w:rPr>
          <w:rFonts w:ascii="Arial" w:hAnsi="Arial" w:cs="Arial"/>
          <w:sz w:val="20"/>
          <w:szCs w:val="20"/>
        </w:rPr>
        <w:t xml:space="preserve"> </w:t>
      </w:r>
      <w:proofErr w:type="gramStart"/>
      <w:r w:rsidR="00115F54" w:rsidRPr="00EE640E">
        <w:rPr>
          <w:rFonts w:ascii="Arial" w:hAnsi="Arial" w:cs="Arial"/>
          <w:sz w:val="20"/>
          <w:szCs w:val="20"/>
        </w:rPr>
        <w:t>Konsentrasi sampel DNA diukur nilai absorbansinya pada panjang gelombang (λ) 260 nm, sedangkan kemurnian DNA dari kontaminasi ditentukan dengan perbandingan hasil absorbansi pada λ 260/280 dan λ 260/230.</w:t>
      </w:r>
      <w:proofErr w:type="gramEnd"/>
      <w:r w:rsidR="00115F54" w:rsidRPr="00EE640E">
        <w:rPr>
          <w:rFonts w:ascii="Arial" w:hAnsi="Arial" w:cs="Arial"/>
          <w:sz w:val="20"/>
          <w:szCs w:val="20"/>
        </w:rPr>
        <w:t xml:space="preserve"> </w:t>
      </w:r>
      <w:proofErr w:type="gramStart"/>
      <w:r w:rsidR="00115F54" w:rsidRPr="00EE640E">
        <w:rPr>
          <w:rFonts w:ascii="Arial" w:hAnsi="Arial" w:cs="Arial"/>
          <w:sz w:val="20"/>
          <w:szCs w:val="20"/>
        </w:rPr>
        <w:t>Kuantifikasi DNA hasil isolasi yang didapatkan beragam baik dari segi konsentrasi maupun kemurniannya.</w:t>
      </w:r>
      <w:proofErr w:type="gramEnd"/>
      <w:r w:rsidR="00115F54" w:rsidRPr="00EE640E">
        <w:rPr>
          <w:rFonts w:ascii="Arial" w:hAnsi="Arial" w:cs="Arial"/>
          <w:sz w:val="20"/>
          <w:szCs w:val="20"/>
        </w:rPr>
        <w:t xml:space="preserve"> Rata-rata nilai konsentrasi DNA adalah 50,89±32,54 ng/µL. Pada metode spektrofotometri digunakan pengukuran absorbsi pada panjang gelombang tertentu karena DNA (asam nukleat) mempunyai struktur cincin aromatik basa nitrogen yang dapat mengabsorbsi sinar UV. </w:t>
      </w:r>
      <w:proofErr w:type="gramStart"/>
      <w:r w:rsidR="00115F54" w:rsidRPr="00EE640E">
        <w:rPr>
          <w:rFonts w:ascii="Arial" w:hAnsi="Arial" w:cs="Arial"/>
          <w:sz w:val="20"/>
          <w:szCs w:val="20"/>
        </w:rPr>
        <w:t>Nilai absorbansi λ 260/280 nm yang didapat yaitu antara 1,386-2,375.</w:t>
      </w:r>
      <w:proofErr w:type="gramEnd"/>
      <w:r w:rsidR="00115F54" w:rsidRPr="00EE640E">
        <w:rPr>
          <w:rFonts w:ascii="Arial" w:hAnsi="Arial" w:cs="Arial"/>
          <w:sz w:val="20"/>
          <w:szCs w:val="20"/>
        </w:rPr>
        <w:t xml:space="preserve"> </w:t>
      </w:r>
      <w:proofErr w:type="gramStart"/>
      <w:r w:rsidR="00115F54" w:rsidRPr="00EE640E">
        <w:rPr>
          <w:rFonts w:ascii="Arial" w:hAnsi="Arial" w:cs="Arial"/>
          <w:sz w:val="20"/>
          <w:szCs w:val="20"/>
        </w:rPr>
        <w:t>Nilai absorbansi λ 260/230 nm yaitu antara 0,136-0,960.</w:t>
      </w:r>
      <w:proofErr w:type="gramEnd"/>
      <w:r w:rsidR="00115F54" w:rsidRPr="00EE640E">
        <w:rPr>
          <w:rFonts w:ascii="Arial" w:hAnsi="Arial" w:cs="Arial"/>
          <w:sz w:val="20"/>
          <w:szCs w:val="20"/>
        </w:rPr>
        <w:t xml:space="preserve"> </w:t>
      </w:r>
      <w:proofErr w:type="gramStart"/>
      <w:r w:rsidR="00115F54" w:rsidRPr="00EE640E">
        <w:rPr>
          <w:rFonts w:ascii="Arial" w:hAnsi="Arial" w:cs="Arial"/>
          <w:sz w:val="20"/>
          <w:szCs w:val="20"/>
        </w:rPr>
        <w:t>Beberapa sampel tidak dapat dideteksi kemurniannya menggunakan spektrofotometer nanodrop.</w:t>
      </w:r>
      <w:proofErr w:type="gramEnd"/>
      <w:r w:rsidR="00115F54" w:rsidRPr="00EE640E">
        <w:rPr>
          <w:rFonts w:ascii="Arial" w:hAnsi="Arial" w:cs="Arial"/>
          <w:sz w:val="20"/>
          <w:szCs w:val="20"/>
        </w:rPr>
        <w:t xml:space="preserve"> Menurut </w:t>
      </w:r>
      <w:r w:rsidR="00115F54" w:rsidRPr="00EE640E">
        <w:rPr>
          <w:rFonts w:ascii="Arial" w:hAnsi="Arial" w:cs="Arial"/>
          <w:sz w:val="20"/>
          <w:szCs w:val="20"/>
        </w:rPr>
        <w:lastRenderedPageBreak/>
        <w:t>Sambrook &amp; Russel (1989), DNA dikatakan murni apabila mempunyai nilai perbandingan absorbansi λ 260/280 nm berkisar 1</w:t>
      </w:r>
      <w:proofErr w:type="gramStart"/>
      <w:r w:rsidR="00115F54" w:rsidRPr="00EE640E">
        <w:rPr>
          <w:rFonts w:ascii="Arial" w:hAnsi="Arial" w:cs="Arial"/>
          <w:sz w:val="20"/>
          <w:szCs w:val="20"/>
        </w:rPr>
        <w:t>,8</w:t>
      </w:r>
      <w:proofErr w:type="gramEnd"/>
      <w:r w:rsidR="00115F54" w:rsidRPr="00EE640E">
        <w:rPr>
          <w:rFonts w:ascii="Arial" w:hAnsi="Arial" w:cs="Arial"/>
          <w:sz w:val="20"/>
          <w:szCs w:val="20"/>
        </w:rPr>
        <w:t>-2,0. Pada kemurnian DNA yang nilainya lebih rendah dari 1,8 menunjukkan sampel DNA terkontaminasi oleh protein, sedangkan kemurnian DNA yang nilainya lebih tinggi dari 2,0 artinya sampel DNA terkontaminasi oleh RNA. Pada perbandingan absorbansi λ 260/230 nm DNA murni berkisar antara 2-2</w:t>
      </w:r>
      <w:proofErr w:type="gramStart"/>
      <w:r w:rsidR="00115F54" w:rsidRPr="00EE640E">
        <w:rPr>
          <w:rFonts w:ascii="Arial" w:hAnsi="Arial" w:cs="Arial"/>
          <w:sz w:val="20"/>
          <w:szCs w:val="20"/>
        </w:rPr>
        <w:t>,2</w:t>
      </w:r>
      <w:proofErr w:type="gramEnd"/>
      <w:r w:rsidR="00115F54" w:rsidRPr="00EE640E">
        <w:rPr>
          <w:rFonts w:ascii="Arial" w:hAnsi="Arial" w:cs="Arial"/>
          <w:sz w:val="20"/>
          <w:szCs w:val="20"/>
        </w:rPr>
        <w:t>. Jika nilainya lebih rendah dari 2 maka DNA terkontaminasi oleh karbohidrat, bahan organik, atau kemikalia lain.</w:t>
      </w:r>
    </w:p>
    <w:p w:rsidR="00115F54" w:rsidRPr="00EE640E" w:rsidRDefault="00115F54" w:rsidP="00115F54">
      <w:pPr>
        <w:pStyle w:val="ListParagraph"/>
        <w:tabs>
          <w:tab w:val="left" w:pos="426"/>
        </w:tabs>
        <w:spacing w:after="0" w:line="240" w:lineRule="auto"/>
        <w:ind w:left="284" w:firstLine="567"/>
        <w:jc w:val="both"/>
        <w:rPr>
          <w:rFonts w:ascii="Arial" w:hAnsi="Arial" w:cs="Arial"/>
          <w:sz w:val="20"/>
          <w:szCs w:val="20"/>
        </w:rPr>
      </w:pPr>
    </w:p>
    <w:p w:rsidR="00115F54" w:rsidRPr="00EE640E" w:rsidRDefault="0038654E" w:rsidP="00A75755">
      <w:pPr>
        <w:pStyle w:val="ListParagraph"/>
        <w:tabs>
          <w:tab w:val="left" w:pos="426"/>
        </w:tabs>
        <w:spacing w:after="0" w:line="240" w:lineRule="auto"/>
        <w:ind w:left="0"/>
        <w:jc w:val="both"/>
        <w:rPr>
          <w:rFonts w:ascii="Arial" w:hAnsi="Arial" w:cs="Arial"/>
          <w:b/>
          <w:sz w:val="20"/>
          <w:szCs w:val="20"/>
        </w:rPr>
      </w:pPr>
      <w:r w:rsidRPr="00EE640E">
        <w:rPr>
          <w:rFonts w:ascii="Arial" w:hAnsi="Arial" w:cs="Arial"/>
          <w:b/>
          <w:sz w:val="20"/>
          <w:szCs w:val="20"/>
        </w:rPr>
        <w:t xml:space="preserve">Hasil Deteksi Gen BRLF1 </w:t>
      </w:r>
      <w:r w:rsidR="00115F54" w:rsidRPr="00EE640E">
        <w:rPr>
          <w:rFonts w:ascii="Arial" w:hAnsi="Arial" w:cs="Arial"/>
          <w:b/>
          <w:sz w:val="20"/>
          <w:szCs w:val="20"/>
        </w:rPr>
        <w:t>M</w:t>
      </w:r>
      <w:r w:rsidR="00115F54" w:rsidRPr="00EE640E">
        <w:rPr>
          <w:rFonts w:ascii="Arial" w:hAnsi="Arial" w:cs="Arial"/>
          <w:b/>
          <w:sz w:val="20"/>
          <w:szCs w:val="20"/>
          <w:lang w:val="id-ID"/>
        </w:rPr>
        <w:t xml:space="preserve">enggunakan </w:t>
      </w:r>
      <w:r w:rsidR="00115F54" w:rsidRPr="00EE640E">
        <w:rPr>
          <w:rFonts w:ascii="Arial" w:hAnsi="Arial" w:cs="Arial"/>
          <w:b/>
          <w:sz w:val="20"/>
          <w:szCs w:val="20"/>
        </w:rPr>
        <w:t xml:space="preserve">Teknik </w:t>
      </w:r>
      <w:r w:rsidR="00115F54" w:rsidRPr="00EE640E">
        <w:rPr>
          <w:rFonts w:ascii="Arial" w:hAnsi="Arial" w:cs="Arial"/>
          <w:b/>
          <w:sz w:val="20"/>
          <w:szCs w:val="20"/>
          <w:lang w:val="id-ID"/>
        </w:rPr>
        <w:t>PCR</w:t>
      </w:r>
    </w:p>
    <w:p w:rsidR="00115F54" w:rsidRDefault="00115F54" w:rsidP="00EE640E">
      <w:pPr>
        <w:pStyle w:val="ListParagraph"/>
        <w:tabs>
          <w:tab w:val="left" w:pos="426"/>
        </w:tabs>
        <w:spacing w:after="0" w:line="240" w:lineRule="auto"/>
        <w:ind w:left="0" w:firstLine="426"/>
        <w:jc w:val="both"/>
        <w:rPr>
          <w:rFonts w:ascii="Arial" w:hAnsi="Arial" w:cs="Arial"/>
          <w:sz w:val="20"/>
          <w:szCs w:val="20"/>
          <w:lang w:val="id-ID"/>
        </w:rPr>
      </w:pPr>
      <w:r w:rsidRPr="00EE640E">
        <w:rPr>
          <w:rFonts w:ascii="Arial" w:hAnsi="Arial" w:cs="Arial"/>
          <w:sz w:val="20"/>
          <w:szCs w:val="20"/>
        </w:rPr>
        <w:t xml:space="preserve">Semua sampel darah pasien KNF yang diperoleh kemudian diisolasi DNAnya untuk dideteksi apakah terdapat gen litik BRLF1 menggunakan metode PCR konvensional dua tahap. </w:t>
      </w:r>
      <w:proofErr w:type="gramStart"/>
      <w:r w:rsidRPr="00EE640E">
        <w:rPr>
          <w:rFonts w:ascii="Arial" w:hAnsi="Arial" w:cs="Arial"/>
          <w:sz w:val="20"/>
          <w:szCs w:val="20"/>
        </w:rPr>
        <w:t>Metode PCR dua tahap ini memungkinkan untuk memperoleh lebih banyak jumlah amplikon DNA yang dihasilkan karena jumlah DNA virus relatif rendah (Haryanto &amp; Sofia, 2012).</w:t>
      </w:r>
      <w:proofErr w:type="gramEnd"/>
      <w:r w:rsidRPr="00EE640E">
        <w:rPr>
          <w:rFonts w:ascii="Arial" w:hAnsi="Arial" w:cs="Arial"/>
          <w:sz w:val="20"/>
          <w:szCs w:val="20"/>
        </w:rPr>
        <w:t xml:space="preserve"> Hasil PCR dua tahap kemudian dipisahkan dengan elektroforesis gel agarosa 2%. </w:t>
      </w:r>
      <w:proofErr w:type="gramStart"/>
      <w:r w:rsidRPr="00EE640E">
        <w:rPr>
          <w:rFonts w:ascii="Arial" w:hAnsi="Arial" w:cs="Arial"/>
          <w:sz w:val="20"/>
          <w:szCs w:val="20"/>
        </w:rPr>
        <w:t xml:space="preserve">Hasil </w:t>
      </w:r>
      <w:r w:rsidRPr="00EE640E">
        <w:rPr>
          <w:rFonts w:ascii="Arial" w:hAnsi="Arial" w:cs="Arial"/>
          <w:sz w:val="20"/>
          <w:szCs w:val="20"/>
        </w:rPr>
        <w:lastRenderedPageBreak/>
        <w:t>elektroforesis kemudian divisualisasi dengan Gel-Doc 1000.</w:t>
      </w:r>
      <w:proofErr w:type="gramEnd"/>
      <w:r w:rsidRPr="00EE640E">
        <w:rPr>
          <w:rFonts w:ascii="Arial" w:hAnsi="Arial" w:cs="Arial"/>
          <w:sz w:val="20"/>
          <w:szCs w:val="20"/>
        </w:rPr>
        <w:t xml:space="preserve"> Pita DNA yang terbentuk dibandingkan ukurannya deng</w:t>
      </w:r>
      <w:r w:rsidR="00A75755" w:rsidRPr="00EE640E">
        <w:rPr>
          <w:rFonts w:ascii="Arial" w:hAnsi="Arial" w:cs="Arial"/>
          <w:sz w:val="20"/>
          <w:szCs w:val="20"/>
        </w:rPr>
        <w:t xml:space="preserve">an DNA ladder 100 </w:t>
      </w:r>
      <w:r w:rsidR="00A75755" w:rsidRPr="00EE640E">
        <w:rPr>
          <w:rFonts w:ascii="Arial" w:hAnsi="Arial" w:cs="Arial"/>
          <w:i/>
          <w:sz w:val="20"/>
          <w:szCs w:val="20"/>
        </w:rPr>
        <w:t>bp</w:t>
      </w:r>
      <w:r w:rsidR="00A75755" w:rsidRPr="00EE640E">
        <w:rPr>
          <w:rFonts w:ascii="Arial" w:hAnsi="Arial" w:cs="Arial"/>
          <w:sz w:val="20"/>
          <w:szCs w:val="20"/>
        </w:rPr>
        <w:t>. H</w:t>
      </w:r>
      <w:r w:rsidRPr="00EE640E">
        <w:rPr>
          <w:rFonts w:ascii="Arial" w:hAnsi="Arial" w:cs="Arial"/>
          <w:sz w:val="20"/>
          <w:szCs w:val="20"/>
        </w:rPr>
        <w:t xml:space="preserve">asil PCR dua tahap dengan menggunakan primer yang spesifik </w:t>
      </w:r>
      <w:r w:rsidRPr="00EE640E">
        <w:rPr>
          <w:rFonts w:ascii="Arial" w:hAnsi="Arial" w:cs="Arial"/>
          <w:sz w:val="20"/>
          <w:szCs w:val="20"/>
        </w:rPr>
        <w:lastRenderedPageBreak/>
        <w:t xml:space="preserve">berhasil dan bernilai positif dengan produk PCR berukuran 157 </w:t>
      </w:r>
      <w:r w:rsidRPr="00EE640E">
        <w:rPr>
          <w:rFonts w:ascii="Arial" w:hAnsi="Arial" w:cs="Arial"/>
          <w:i/>
          <w:sz w:val="20"/>
          <w:szCs w:val="20"/>
        </w:rPr>
        <w:t>bp</w:t>
      </w:r>
      <w:r w:rsidR="00A75755" w:rsidRPr="00EE640E">
        <w:rPr>
          <w:rFonts w:ascii="Arial" w:hAnsi="Arial" w:cs="Arial"/>
          <w:sz w:val="20"/>
          <w:szCs w:val="20"/>
        </w:rPr>
        <w:t xml:space="preserve"> (Gambar </w:t>
      </w:r>
      <w:r w:rsidR="0038654E" w:rsidRPr="00EE640E">
        <w:rPr>
          <w:rFonts w:ascii="Arial" w:hAnsi="Arial" w:cs="Arial"/>
          <w:sz w:val="20"/>
          <w:szCs w:val="20"/>
        </w:rPr>
        <w:t>2</w:t>
      </w:r>
      <w:r w:rsidR="00A75755" w:rsidRPr="00EE640E">
        <w:rPr>
          <w:rFonts w:ascii="Arial" w:hAnsi="Arial" w:cs="Arial"/>
          <w:sz w:val="20"/>
          <w:szCs w:val="20"/>
        </w:rPr>
        <w:t>)</w:t>
      </w:r>
      <w:r w:rsidRPr="00EE640E">
        <w:rPr>
          <w:rFonts w:ascii="Arial" w:hAnsi="Arial" w:cs="Arial"/>
          <w:sz w:val="20"/>
          <w:szCs w:val="20"/>
        </w:rPr>
        <w:t>. Hal tersebut menunjukkan bahwa gen BRLF1 telah berhasil diamplifikasi.</w:t>
      </w:r>
    </w:p>
    <w:p w:rsidR="00EE640E" w:rsidRDefault="00EE640E" w:rsidP="00EE640E">
      <w:pPr>
        <w:pStyle w:val="ListParagraph"/>
        <w:tabs>
          <w:tab w:val="left" w:pos="426"/>
        </w:tabs>
        <w:spacing w:after="0" w:line="240" w:lineRule="auto"/>
        <w:ind w:left="0" w:firstLine="426"/>
        <w:jc w:val="both"/>
        <w:rPr>
          <w:rFonts w:ascii="Times New Roman" w:hAnsi="Times New Roman"/>
          <w:lang w:val="id-ID"/>
        </w:rPr>
        <w:sectPr w:rsidR="00EE640E" w:rsidSect="00B8572A">
          <w:type w:val="continuous"/>
          <w:pgSz w:w="12240" w:h="15840"/>
          <w:pgMar w:top="1418" w:right="1418" w:bottom="1418" w:left="2268" w:header="720" w:footer="720" w:gutter="0"/>
          <w:cols w:num="2" w:space="720"/>
          <w:docGrid w:linePitch="360"/>
        </w:sectPr>
      </w:pPr>
    </w:p>
    <w:p w:rsidR="00EE640E" w:rsidRPr="00EE640E" w:rsidRDefault="00EE640E" w:rsidP="00EE640E">
      <w:pPr>
        <w:pStyle w:val="ListParagraph"/>
        <w:tabs>
          <w:tab w:val="left" w:pos="426"/>
        </w:tabs>
        <w:spacing w:after="0" w:line="240" w:lineRule="auto"/>
        <w:ind w:left="0" w:firstLine="426"/>
        <w:jc w:val="center"/>
        <w:rPr>
          <w:rFonts w:ascii="Times New Roman" w:hAnsi="Times New Roman"/>
          <w:lang w:val="id-ID"/>
        </w:rPr>
      </w:pPr>
    </w:p>
    <w:p w:rsidR="00EE640E" w:rsidRDefault="00115F54" w:rsidP="00EE640E">
      <w:pPr>
        <w:pStyle w:val="ListParagraph"/>
        <w:tabs>
          <w:tab w:val="left" w:pos="426"/>
        </w:tabs>
        <w:spacing w:after="0" w:line="240" w:lineRule="auto"/>
        <w:ind w:left="0"/>
        <w:jc w:val="center"/>
        <w:rPr>
          <w:rFonts w:ascii="Times New Roman" w:hAnsi="Times New Roman"/>
          <w:b/>
          <w:sz w:val="20"/>
          <w:szCs w:val="20"/>
          <w:lang w:val="id-ID"/>
        </w:rPr>
      </w:pPr>
      <w:r w:rsidRPr="0004404F">
        <w:rPr>
          <w:rFonts w:ascii="Times New Roman" w:hAnsi="Times New Roman"/>
          <w:noProof/>
          <w:lang w:val="id-ID" w:eastAsia="id-ID"/>
        </w:rPr>
        <w:drawing>
          <wp:inline distT="0" distB="0" distL="0" distR="0" wp14:anchorId="5A48B63D" wp14:editId="3284352D">
            <wp:extent cx="2679321" cy="225742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ed.jpg"/>
                    <pic:cNvPicPr/>
                  </pic:nvPicPr>
                  <pic:blipFill>
                    <a:blip r:embed="rId13">
                      <a:extLst>
                        <a:ext uri="{28A0092B-C50C-407E-A947-70E740481C1C}">
                          <a14:useLocalDpi xmlns:a14="http://schemas.microsoft.com/office/drawing/2010/main" val="0"/>
                        </a:ext>
                      </a:extLst>
                    </a:blip>
                    <a:stretch>
                      <a:fillRect/>
                    </a:stretch>
                  </pic:blipFill>
                  <pic:spPr>
                    <a:xfrm>
                      <a:off x="0" y="0"/>
                      <a:ext cx="2682892" cy="2260433"/>
                    </a:xfrm>
                    <a:prstGeom prst="rect">
                      <a:avLst/>
                    </a:prstGeom>
                  </pic:spPr>
                </pic:pic>
              </a:graphicData>
            </a:graphic>
          </wp:inline>
        </w:drawing>
      </w:r>
    </w:p>
    <w:p w:rsidR="00EE640E" w:rsidRDefault="00EE640E" w:rsidP="00EE640E">
      <w:pPr>
        <w:pStyle w:val="ListParagraph"/>
        <w:tabs>
          <w:tab w:val="left" w:pos="426"/>
        </w:tabs>
        <w:spacing w:after="0" w:line="240" w:lineRule="auto"/>
        <w:ind w:left="0"/>
        <w:jc w:val="center"/>
        <w:rPr>
          <w:rFonts w:ascii="Times New Roman" w:hAnsi="Times New Roman"/>
          <w:b/>
          <w:sz w:val="20"/>
          <w:szCs w:val="20"/>
          <w:lang w:val="id-ID"/>
        </w:rPr>
      </w:pPr>
    </w:p>
    <w:p w:rsidR="00115F54" w:rsidRDefault="0038654E" w:rsidP="00EE640E">
      <w:pPr>
        <w:pStyle w:val="ListParagraph"/>
        <w:tabs>
          <w:tab w:val="left" w:pos="426"/>
          <w:tab w:val="left" w:pos="1134"/>
        </w:tabs>
        <w:spacing w:after="0" w:line="240" w:lineRule="auto"/>
        <w:ind w:left="1134" w:hanging="1134"/>
        <w:jc w:val="both"/>
        <w:rPr>
          <w:rFonts w:ascii="Times New Roman" w:hAnsi="Times New Roman"/>
          <w:b/>
          <w:sz w:val="20"/>
          <w:szCs w:val="20"/>
        </w:rPr>
      </w:pPr>
      <w:proofErr w:type="gramStart"/>
      <w:r>
        <w:rPr>
          <w:rFonts w:ascii="Times New Roman" w:hAnsi="Times New Roman"/>
          <w:b/>
          <w:sz w:val="20"/>
          <w:szCs w:val="20"/>
        </w:rPr>
        <w:t xml:space="preserve">Gambar </w:t>
      </w:r>
      <w:r w:rsidR="00115F54" w:rsidRPr="00A75755">
        <w:rPr>
          <w:rFonts w:ascii="Times New Roman" w:hAnsi="Times New Roman"/>
          <w:b/>
          <w:sz w:val="20"/>
          <w:szCs w:val="20"/>
        </w:rPr>
        <w:t>2.</w:t>
      </w:r>
      <w:proofErr w:type="gramEnd"/>
      <w:r w:rsidR="00115F54" w:rsidRPr="00A75755">
        <w:rPr>
          <w:rFonts w:ascii="Times New Roman" w:hAnsi="Times New Roman"/>
          <w:b/>
          <w:sz w:val="20"/>
          <w:szCs w:val="20"/>
        </w:rPr>
        <w:t xml:space="preserve"> </w:t>
      </w:r>
      <w:r w:rsidR="00EE640E">
        <w:rPr>
          <w:rFonts w:ascii="Times New Roman" w:hAnsi="Times New Roman"/>
          <w:b/>
          <w:sz w:val="20"/>
          <w:szCs w:val="20"/>
          <w:lang w:val="id-ID"/>
        </w:rPr>
        <w:tab/>
      </w:r>
      <w:r w:rsidR="00115F54" w:rsidRPr="00A75755">
        <w:rPr>
          <w:rFonts w:ascii="Times New Roman" w:hAnsi="Times New Roman"/>
          <w:b/>
          <w:sz w:val="20"/>
          <w:szCs w:val="20"/>
        </w:rPr>
        <w:t xml:space="preserve">Visualisasi produk PCR gen </w:t>
      </w:r>
      <w:r w:rsidR="00227527">
        <w:rPr>
          <w:rFonts w:ascii="Times New Roman" w:hAnsi="Times New Roman"/>
          <w:b/>
          <w:sz w:val="20"/>
          <w:szCs w:val="20"/>
        </w:rPr>
        <w:t xml:space="preserve">BRLF1 </w:t>
      </w:r>
      <w:r w:rsidR="00115F54" w:rsidRPr="00A75755">
        <w:rPr>
          <w:rFonts w:ascii="Times New Roman" w:hAnsi="Times New Roman"/>
          <w:b/>
          <w:sz w:val="20"/>
          <w:szCs w:val="20"/>
        </w:rPr>
        <w:t>DNA EBV (M, Marka DNA 100 bp;-, Kontrol Negatif; 1-21</w:t>
      </w:r>
      <w:proofErr w:type="gramStart"/>
      <w:r w:rsidR="00115F54" w:rsidRPr="00A75755">
        <w:rPr>
          <w:rFonts w:ascii="Times New Roman" w:hAnsi="Times New Roman"/>
          <w:b/>
          <w:sz w:val="20"/>
          <w:szCs w:val="20"/>
        </w:rPr>
        <w:t>,Produk</w:t>
      </w:r>
      <w:proofErr w:type="gramEnd"/>
      <w:r w:rsidR="00115F54" w:rsidRPr="00A75755">
        <w:rPr>
          <w:rFonts w:ascii="Times New Roman" w:hAnsi="Times New Roman"/>
          <w:b/>
          <w:sz w:val="20"/>
          <w:szCs w:val="20"/>
        </w:rPr>
        <w:t xml:space="preserve"> PCR gen BRLF1)</w:t>
      </w:r>
    </w:p>
    <w:p w:rsidR="00B3166D" w:rsidRPr="00A75755" w:rsidRDefault="00B3166D" w:rsidP="00EE640E">
      <w:pPr>
        <w:pStyle w:val="ListParagraph"/>
        <w:tabs>
          <w:tab w:val="left" w:pos="0"/>
        </w:tabs>
        <w:spacing w:after="0" w:line="240" w:lineRule="auto"/>
        <w:ind w:left="1134" w:hanging="1134"/>
        <w:jc w:val="center"/>
        <w:rPr>
          <w:rFonts w:ascii="Times New Roman" w:hAnsi="Times New Roman"/>
          <w:b/>
          <w:sz w:val="20"/>
          <w:szCs w:val="20"/>
        </w:rPr>
      </w:pPr>
    </w:p>
    <w:p w:rsidR="00EE640E" w:rsidRDefault="00EE640E" w:rsidP="00B3166D">
      <w:pPr>
        <w:pStyle w:val="ListParagraph"/>
        <w:tabs>
          <w:tab w:val="left" w:pos="426"/>
        </w:tabs>
        <w:spacing w:after="0" w:line="240" w:lineRule="auto"/>
        <w:ind w:left="0" w:firstLine="567"/>
        <w:jc w:val="both"/>
        <w:rPr>
          <w:rFonts w:ascii="Times New Roman" w:hAnsi="Times New Roman"/>
        </w:rPr>
        <w:sectPr w:rsidR="00EE640E" w:rsidSect="00EE640E">
          <w:type w:val="continuous"/>
          <w:pgSz w:w="12240" w:h="15840"/>
          <w:pgMar w:top="1418" w:right="1418" w:bottom="1418" w:left="2268" w:header="720" w:footer="720" w:gutter="0"/>
          <w:cols w:space="720"/>
          <w:docGrid w:linePitch="360"/>
        </w:sectPr>
      </w:pPr>
    </w:p>
    <w:p w:rsidR="00115F54" w:rsidRPr="00EE640E" w:rsidRDefault="00115F54" w:rsidP="00EE640E">
      <w:pPr>
        <w:pStyle w:val="ListParagraph"/>
        <w:tabs>
          <w:tab w:val="left" w:pos="426"/>
        </w:tabs>
        <w:spacing w:after="0" w:line="240" w:lineRule="auto"/>
        <w:ind w:left="0" w:firstLine="426"/>
        <w:jc w:val="both"/>
        <w:rPr>
          <w:rFonts w:ascii="Arial" w:hAnsi="Arial" w:cs="Arial"/>
          <w:sz w:val="20"/>
          <w:szCs w:val="20"/>
        </w:rPr>
      </w:pPr>
      <w:r w:rsidRPr="00EE640E">
        <w:rPr>
          <w:rFonts w:ascii="Arial" w:hAnsi="Arial" w:cs="Arial"/>
          <w:sz w:val="20"/>
          <w:szCs w:val="20"/>
        </w:rPr>
        <w:lastRenderedPageBreak/>
        <w:t>Hasil penelitian menunjukkan bahwa dari 22 sampel DNA pasien KNF yang dilakukan PCR, 16 (72</w:t>
      </w:r>
      <w:proofErr w:type="gramStart"/>
      <w:r w:rsidRPr="00EE640E">
        <w:rPr>
          <w:rFonts w:ascii="Arial" w:hAnsi="Arial" w:cs="Arial"/>
          <w:sz w:val="20"/>
          <w:szCs w:val="20"/>
        </w:rPr>
        <w:t>,73</w:t>
      </w:r>
      <w:proofErr w:type="gramEnd"/>
      <w:r w:rsidRPr="00EE640E">
        <w:rPr>
          <w:rFonts w:ascii="Arial" w:hAnsi="Arial" w:cs="Arial"/>
          <w:sz w:val="20"/>
          <w:szCs w:val="20"/>
        </w:rPr>
        <w:t xml:space="preserve">%) sampel positif terdeteksi gen BRLF1 dan 6 sampel (27,27%) tidak terdeteksi gen BRLF1. Infeksi EBV pada KNF menunjukkan tahap infeksi fase </w:t>
      </w:r>
      <w:r w:rsidRPr="00EE640E">
        <w:rPr>
          <w:rFonts w:ascii="Arial" w:hAnsi="Arial" w:cs="Arial"/>
          <w:i/>
          <w:iCs/>
          <w:sz w:val="20"/>
          <w:szCs w:val="20"/>
          <w:lang w:eastAsia="en-GB"/>
        </w:rPr>
        <w:t xml:space="preserve">immediate-early </w:t>
      </w:r>
      <w:r w:rsidRPr="00EE640E">
        <w:rPr>
          <w:rFonts w:ascii="Arial" w:hAnsi="Arial" w:cs="Arial"/>
          <w:iCs/>
          <w:sz w:val="20"/>
          <w:szCs w:val="20"/>
          <w:lang w:eastAsia="en-GB"/>
        </w:rPr>
        <w:t>(IE)</w:t>
      </w:r>
      <w:r w:rsidRPr="00EE640E">
        <w:rPr>
          <w:rFonts w:ascii="Arial" w:hAnsi="Arial" w:cs="Arial"/>
          <w:sz w:val="20"/>
          <w:szCs w:val="20"/>
          <w:lang w:eastAsia="en-GB"/>
        </w:rPr>
        <w:t xml:space="preserve"> akan mengekspresikan gen BRLF1 sebagai transaktivator replikasi virus yang berfungsi </w:t>
      </w:r>
      <w:r w:rsidRPr="00EE640E">
        <w:rPr>
          <w:rFonts w:ascii="Arial" w:hAnsi="Arial" w:cs="Arial"/>
          <w:sz w:val="20"/>
          <w:szCs w:val="20"/>
          <w:lang w:eastAsia="en-GB"/>
        </w:rPr>
        <w:lastRenderedPageBreak/>
        <w:t xml:space="preserve">mengatur ekspresi baik gen virus seluler maupun lainnya, sehingga dapat digunakan untuk petanda biologi infeksi EBV pada KNF (Bhende et al., 2004). </w:t>
      </w:r>
      <w:proofErr w:type="gramStart"/>
      <w:r w:rsidRPr="00EE640E">
        <w:rPr>
          <w:rFonts w:ascii="Arial" w:hAnsi="Arial" w:cs="Arial"/>
          <w:sz w:val="20"/>
          <w:szCs w:val="20"/>
        </w:rPr>
        <w:t xml:space="preserve">Gambar </w:t>
      </w:r>
      <w:r w:rsidR="0038654E" w:rsidRPr="00EE640E">
        <w:rPr>
          <w:rFonts w:ascii="Arial" w:hAnsi="Arial" w:cs="Arial"/>
          <w:sz w:val="20"/>
          <w:szCs w:val="20"/>
        </w:rPr>
        <w:t>3</w:t>
      </w:r>
      <w:r w:rsidRPr="00EE640E">
        <w:rPr>
          <w:rFonts w:ascii="Arial" w:hAnsi="Arial" w:cs="Arial"/>
          <w:sz w:val="20"/>
          <w:szCs w:val="20"/>
        </w:rPr>
        <w:t>.</w:t>
      </w:r>
      <w:proofErr w:type="gramEnd"/>
      <w:r w:rsidRPr="00EE640E">
        <w:rPr>
          <w:rFonts w:ascii="Arial" w:hAnsi="Arial" w:cs="Arial"/>
          <w:sz w:val="20"/>
          <w:szCs w:val="20"/>
        </w:rPr>
        <w:t xml:space="preserve"> </w:t>
      </w:r>
      <w:proofErr w:type="gramStart"/>
      <w:r w:rsidRPr="00EE640E">
        <w:rPr>
          <w:rFonts w:ascii="Arial" w:hAnsi="Arial" w:cs="Arial"/>
          <w:sz w:val="20"/>
          <w:szCs w:val="20"/>
        </w:rPr>
        <w:t>menunjukkan</w:t>
      </w:r>
      <w:proofErr w:type="gramEnd"/>
      <w:r w:rsidRPr="00EE640E">
        <w:rPr>
          <w:rFonts w:ascii="Arial" w:hAnsi="Arial" w:cs="Arial"/>
          <w:sz w:val="20"/>
          <w:szCs w:val="20"/>
        </w:rPr>
        <w:t xml:space="preserve"> grafik persentase hasil deteksi gen BRLF1 dari sampel DNA pasien KNF menggunakan metode PCR konvensional.</w:t>
      </w:r>
    </w:p>
    <w:p w:rsidR="00EE640E" w:rsidRDefault="00EE640E" w:rsidP="00115F54">
      <w:pPr>
        <w:pStyle w:val="ListParagraph"/>
        <w:tabs>
          <w:tab w:val="left" w:pos="426"/>
        </w:tabs>
        <w:spacing w:after="0" w:line="240" w:lineRule="auto"/>
        <w:ind w:left="284"/>
        <w:jc w:val="center"/>
        <w:rPr>
          <w:rFonts w:ascii="Times New Roman" w:hAnsi="Times New Roman"/>
        </w:rPr>
        <w:sectPr w:rsidR="00EE640E" w:rsidSect="00B8572A">
          <w:type w:val="continuous"/>
          <w:pgSz w:w="12240" w:h="15840"/>
          <w:pgMar w:top="1418" w:right="1418" w:bottom="1418" w:left="2268" w:header="720" w:footer="720" w:gutter="0"/>
          <w:cols w:num="2" w:space="720"/>
          <w:docGrid w:linePitch="360"/>
        </w:sectPr>
      </w:pPr>
    </w:p>
    <w:p w:rsidR="00115F54" w:rsidRPr="0004404F" w:rsidRDefault="00115F54" w:rsidP="00EE640E">
      <w:pPr>
        <w:pStyle w:val="ListParagraph"/>
        <w:tabs>
          <w:tab w:val="left" w:pos="426"/>
        </w:tabs>
        <w:spacing w:after="0" w:line="240" w:lineRule="auto"/>
        <w:ind w:left="284"/>
        <w:jc w:val="center"/>
        <w:rPr>
          <w:rFonts w:ascii="Times New Roman" w:hAnsi="Times New Roman"/>
        </w:rPr>
      </w:pPr>
    </w:p>
    <w:p w:rsidR="00115F54" w:rsidRPr="0004404F" w:rsidRDefault="00115F54" w:rsidP="00EE640E">
      <w:pPr>
        <w:pStyle w:val="ListParagraph"/>
        <w:tabs>
          <w:tab w:val="left" w:pos="426"/>
        </w:tabs>
        <w:spacing w:after="0" w:line="240" w:lineRule="auto"/>
        <w:ind w:left="0"/>
        <w:jc w:val="center"/>
        <w:rPr>
          <w:rFonts w:ascii="Times New Roman" w:hAnsi="Times New Roman"/>
          <w:b/>
        </w:rPr>
      </w:pPr>
      <w:r w:rsidRPr="0004404F">
        <w:rPr>
          <w:rFonts w:ascii="Times New Roman" w:hAnsi="Times New Roman"/>
          <w:noProof/>
          <w:lang w:val="id-ID" w:eastAsia="id-ID"/>
        </w:rPr>
        <w:drawing>
          <wp:inline distT="0" distB="0" distL="0" distR="0" wp14:anchorId="77D7D7DA" wp14:editId="2E80B6D0">
            <wp:extent cx="2514600" cy="1609725"/>
            <wp:effectExtent l="0" t="0" r="19050" b="9525"/>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640E" w:rsidRDefault="00EE640E" w:rsidP="00EE640E">
      <w:pPr>
        <w:pStyle w:val="ListParagraph"/>
        <w:tabs>
          <w:tab w:val="left" w:pos="426"/>
        </w:tabs>
        <w:spacing w:after="0" w:line="240" w:lineRule="auto"/>
        <w:ind w:left="1134" w:hanging="1134"/>
        <w:jc w:val="both"/>
        <w:rPr>
          <w:rFonts w:ascii="Times New Roman" w:hAnsi="Times New Roman"/>
          <w:b/>
          <w:sz w:val="20"/>
          <w:szCs w:val="20"/>
          <w:lang w:val="id-ID"/>
        </w:rPr>
      </w:pPr>
    </w:p>
    <w:p w:rsidR="00115F54" w:rsidRPr="00B3166D" w:rsidRDefault="00115F54" w:rsidP="00EE640E">
      <w:pPr>
        <w:pStyle w:val="ListParagraph"/>
        <w:tabs>
          <w:tab w:val="left" w:pos="426"/>
        </w:tabs>
        <w:spacing w:after="0" w:line="240" w:lineRule="auto"/>
        <w:ind w:left="1134" w:hanging="1134"/>
        <w:jc w:val="both"/>
        <w:rPr>
          <w:rFonts w:ascii="Times New Roman" w:hAnsi="Times New Roman"/>
          <w:b/>
          <w:sz w:val="20"/>
          <w:szCs w:val="20"/>
        </w:rPr>
      </w:pPr>
      <w:proofErr w:type="gramStart"/>
      <w:r w:rsidRPr="00B3166D">
        <w:rPr>
          <w:rFonts w:ascii="Times New Roman" w:hAnsi="Times New Roman"/>
          <w:b/>
          <w:sz w:val="20"/>
          <w:szCs w:val="20"/>
        </w:rPr>
        <w:t xml:space="preserve">Gambar </w:t>
      </w:r>
      <w:r w:rsidR="0038654E">
        <w:rPr>
          <w:rFonts w:ascii="Times New Roman" w:hAnsi="Times New Roman"/>
          <w:b/>
          <w:sz w:val="20"/>
          <w:szCs w:val="20"/>
        </w:rPr>
        <w:t>3</w:t>
      </w:r>
      <w:r w:rsidRPr="00B3166D">
        <w:rPr>
          <w:rFonts w:ascii="Times New Roman" w:hAnsi="Times New Roman"/>
          <w:b/>
          <w:sz w:val="20"/>
          <w:szCs w:val="20"/>
        </w:rPr>
        <w:t>.</w:t>
      </w:r>
      <w:proofErr w:type="gramEnd"/>
      <w:r w:rsidRPr="00B3166D">
        <w:rPr>
          <w:rFonts w:ascii="Times New Roman" w:hAnsi="Times New Roman"/>
          <w:b/>
          <w:sz w:val="20"/>
          <w:szCs w:val="20"/>
        </w:rPr>
        <w:t xml:space="preserve"> </w:t>
      </w:r>
      <w:r w:rsidR="00871445">
        <w:rPr>
          <w:rFonts w:ascii="Times New Roman" w:hAnsi="Times New Roman"/>
          <w:b/>
          <w:sz w:val="20"/>
          <w:szCs w:val="20"/>
        </w:rPr>
        <w:t>P</w:t>
      </w:r>
      <w:r w:rsidRPr="00B3166D">
        <w:rPr>
          <w:rFonts w:ascii="Times New Roman" w:hAnsi="Times New Roman"/>
          <w:b/>
          <w:sz w:val="20"/>
          <w:szCs w:val="20"/>
        </w:rPr>
        <w:t>ersentasi sensitivitas deteksi gen BRLF1 dengan metode PCR</w:t>
      </w:r>
      <w:r w:rsidR="00B3166D">
        <w:rPr>
          <w:rFonts w:ascii="Times New Roman" w:hAnsi="Times New Roman"/>
          <w:b/>
          <w:sz w:val="20"/>
          <w:szCs w:val="20"/>
        </w:rPr>
        <w:t xml:space="preserve"> </w:t>
      </w:r>
      <w:r w:rsidRPr="00B3166D">
        <w:rPr>
          <w:rFonts w:ascii="Times New Roman" w:hAnsi="Times New Roman"/>
          <w:b/>
          <w:sz w:val="20"/>
          <w:szCs w:val="20"/>
        </w:rPr>
        <w:t>konvensional</w:t>
      </w:r>
    </w:p>
    <w:p w:rsidR="00115F54" w:rsidRPr="00B3166D" w:rsidRDefault="00115F54" w:rsidP="00EE640E">
      <w:pPr>
        <w:pStyle w:val="ListParagraph"/>
        <w:tabs>
          <w:tab w:val="left" w:pos="426"/>
        </w:tabs>
        <w:spacing w:after="0" w:line="240" w:lineRule="auto"/>
        <w:ind w:left="284" w:firstLine="567"/>
        <w:jc w:val="center"/>
        <w:rPr>
          <w:rFonts w:ascii="Times New Roman" w:hAnsi="Times New Roman"/>
          <w:sz w:val="20"/>
          <w:szCs w:val="20"/>
        </w:rPr>
      </w:pPr>
    </w:p>
    <w:p w:rsidR="00EE640E" w:rsidRDefault="00EE640E" w:rsidP="00B3166D">
      <w:pPr>
        <w:pStyle w:val="ListParagraph"/>
        <w:tabs>
          <w:tab w:val="left" w:pos="426"/>
        </w:tabs>
        <w:spacing w:after="0" w:line="240" w:lineRule="auto"/>
        <w:ind w:left="0" w:firstLine="851"/>
        <w:jc w:val="both"/>
        <w:rPr>
          <w:rFonts w:ascii="Times New Roman" w:hAnsi="Times New Roman"/>
        </w:rPr>
        <w:sectPr w:rsidR="00EE640E" w:rsidSect="00EE640E">
          <w:type w:val="continuous"/>
          <w:pgSz w:w="12240" w:h="15840"/>
          <w:pgMar w:top="1418" w:right="1418" w:bottom="1418" w:left="2268" w:header="720" w:footer="720" w:gutter="0"/>
          <w:cols w:space="720"/>
          <w:docGrid w:linePitch="360"/>
        </w:sectPr>
      </w:pPr>
    </w:p>
    <w:p w:rsidR="00115F54" w:rsidRPr="00EE640E" w:rsidRDefault="00115F54" w:rsidP="00EE640E">
      <w:pPr>
        <w:pStyle w:val="ListParagraph"/>
        <w:tabs>
          <w:tab w:val="left" w:pos="426"/>
        </w:tabs>
        <w:spacing w:after="0" w:line="240" w:lineRule="auto"/>
        <w:ind w:left="0" w:firstLine="426"/>
        <w:jc w:val="both"/>
        <w:rPr>
          <w:rFonts w:ascii="Arial" w:hAnsi="Arial" w:cs="Arial"/>
          <w:sz w:val="20"/>
          <w:szCs w:val="20"/>
        </w:rPr>
      </w:pPr>
      <w:proofErr w:type="gramStart"/>
      <w:r w:rsidRPr="00EE640E">
        <w:rPr>
          <w:rFonts w:ascii="Arial" w:hAnsi="Arial" w:cs="Arial"/>
          <w:sz w:val="20"/>
          <w:szCs w:val="20"/>
        </w:rPr>
        <w:lastRenderedPageBreak/>
        <w:t xml:space="preserve">Deteksi DNA tumor yang diturunkan dalam sirkulasi pasien penyakit ganas menggunakan strategi berbasis PCR telah membuka jalan baru untuk diagnosis dan pemantuan perkembangan penyakit (Lo et </w:t>
      </w:r>
      <w:r w:rsidRPr="00EE640E">
        <w:rPr>
          <w:rFonts w:ascii="Arial" w:hAnsi="Arial" w:cs="Arial"/>
          <w:sz w:val="20"/>
          <w:szCs w:val="20"/>
        </w:rPr>
        <w:lastRenderedPageBreak/>
        <w:t>al., 1999).</w:t>
      </w:r>
      <w:proofErr w:type="gramEnd"/>
      <w:r w:rsidRPr="00EE640E">
        <w:rPr>
          <w:rFonts w:ascii="Arial" w:hAnsi="Arial" w:cs="Arial"/>
          <w:sz w:val="20"/>
          <w:szCs w:val="20"/>
        </w:rPr>
        <w:t xml:space="preserve">  </w:t>
      </w:r>
      <w:proofErr w:type="gramStart"/>
      <w:r w:rsidRPr="00EE640E">
        <w:rPr>
          <w:rFonts w:ascii="Arial" w:hAnsi="Arial" w:cs="Arial"/>
          <w:sz w:val="20"/>
          <w:szCs w:val="20"/>
        </w:rPr>
        <w:t>KNF yang terkait dengan infeksi EBV sering ditemukan di Asia Tenggara, tetapi jarang ditemukan di Amerika Utara dan Eropa (Tselis &amp; Hal, 2006).</w:t>
      </w:r>
      <w:proofErr w:type="gramEnd"/>
      <w:r w:rsidRPr="00EE640E">
        <w:rPr>
          <w:rFonts w:ascii="Arial" w:hAnsi="Arial" w:cs="Arial"/>
          <w:sz w:val="20"/>
          <w:szCs w:val="20"/>
        </w:rPr>
        <w:t xml:space="preserve"> Teknik PCR dilakukan untuk mengamplifikasi fragmen </w:t>
      </w:r>
      <w:r w:rsidRPr="00EE640E">
        <w:rPr>
          <w:rFonts w:ascii="Arial" w:hAnsi="Arial" w:cs="Arial"/>
          <w:sz w:val="20"/>
          <w:szCs w:val="20"/>
        </w:rPr>
        <w:lastRenderedPageBreak/>
        <w:t xml:space="preserve">DNA dari EBV bebas dalam darah atau </w:t>
      </w:r>
      <w:r w:rsidRPr="00EE640E">
        <w:rPr>
          <w:rFonts w:ascii="Arial" w:hAnsi="Arial" w:cs="Arial"/>
          <w:i/>
          <w:sz w:val="20"/>
          <w:szCs w:val="20"/>
        </w:rPr>
        <w:t>cell free EBV</w:t>
      </w:r>
      <w:r w:rsidRPr="00EE640E">
        <w:rPr>
          <w:rFonts w:ascii="Arial" w:hAnsi="Arial" w:cs="Arial"/>
          <w:sz w:val="20"/>
          <w:szCs w:val="20"/>
        </w:rPr>
        <w:t xml:space="preserve">. </w:t>
      </w:r>
      <w:proofErr w:type="gramStart"/>
      <w:r w:rsidRPr="00EE640E">
        <w:rPr>
          <w:rFonts w:ascii="Arial" w:hAnsi="Arial" w:cs="Arial"/>
          <w:sz w:val="20"/>
          <w:szCs w:val="20"/>
        </w:rPr>
        <w:t>Sumber dari EBV bebas dalam darah pasien KNF berasal dari virion EBV yang keluar dari sel-sel tumor yang mengalami lisis atau DNA yang terintegrasi dengan DNA genom di dalam limfosit (Haryanto &amp; Sofia, 2012).</w:t>
      </w:r>
      <w:proofErr w:type="gramEnd"/>
    </w:p>
    <w:p w:rsidR="00115F54" w:rsidRPr="00EE640E" w:rsidRDefault="00115F54" w:rsidP="00EE640E">
      <w:pPr>
        <w:pStyle w:val="ListParagraph"/>
        <w:tabs>
          <w:tab w:val="left" w:pos="426"/>
        </w:tabs>
        <w:spacing w:after="0" w:line="240" w:lineRule="auto"/>
        <w:ind w:left="0" w:firstLine="426"/>
        <w:jc w:val="both"/>
        <w:rPr>
          <w:rFonts w:ascii="Arial" w:hAnsi="Arial" w:cs="Arial"/>
          <w:sz w:val="20"/>
          <w:szCs w:val="20"/>
        </w:rPr>
      </w:pPr>
      <w:proofErr w:type="gramStart"/>
      <w:r w:rsidRPr="00EE640E">
        <w:rPr>
          <w:rFonts w:ascii="Arial" w:hAnsi="Arial" w:cs="Arial"/>
          <w:sz w:val="20"/>
          <w:szCs w:val="20"/>
        </w:rPr>
        <w:t>Beberapa penelitian telah dilakukan untuk mendiagnosis KNF dengan metode berbasis PCR.</w:t>
      </w:r>
      <w:proofErr w:type="gramEnd"/>
      <w:r w:rsidRPr="00EE640E">
        <w:rPr>
          <w:rFonts w:ascii="Arial" w:hAnsi="Arial" w:cs="Arial"/>
          <w:sz w:val="20"/>
          <w:szCs w:val="20"/>
        </w:rPr>
        <w:t xml:space="preserve"> </w:t>
      </w:r>
      <w:proofErr w:type="gramStart"/>
      <w:r w:rsidRPr="00EE640E">
        <w:rPr>
          <w:rFonts w:ascii="Arial" w:hAnsi="Arial" w:cs="Arial"/>
          <w:sz w:val="20"/>
          <w:szCs w:val="20"/>
        </w:rPr>
        <w:t>Deteksi genom EBV dalam darah pasien KNF telah terbukti dapat digunakan dalam penapisan (</w:t>
      </w:r>
      <w:r w:rsidRPr="00EE640E">
        <w:rPr>
          <w:rFonts w:ascii="Arial" w:hAnsi="Arial" w:cs="Arial"/>
          <w:i/>
          <w:sz w:val="20"/>
          <w:szCs w:val="20"/>
        </w:rPr>
        <w:t>screening</w:t>
      </w:r>
      <w:r w:rsidRPr="00EE640E">
        <w:rPr>
          <w:rFonts w:ascii="Arial" w:hAnsi="Arial" w:cs="Arial"/>
          <w:sz w:val="20"/>
          <w:szCs w:val="20"/>
        </w:rPr>
        <w:t>) penderita, pemantauan penyakit dan penentuan tingkat prognosis penyakit.</w:t>
      </w:r>
      <w:proofErr w:type="gramEnd"/>
      <w:r w:rsidRPr="00EE640E">
        <w:rPr>
          <w:rFonts w:ascii="Arial" w:hAnsi="Arial" w:cs="Arial"/>
          <w:sz w:val="20"/>
          <w:szCs w:val="20"/>
        </w:rPr>
        <w:t xml:space="preserve"> Penelitian yang dilakukan Hsiao et al. (2002) menemukan bahwa penambahan siklus PCR </w:t>
      </w:r>
      <w:proofErr w:type="gramStart"/>
      <w:r w:rsidRPr="00EE640E">
        <w:rPr>
          <w:rFonts w:ascii="Arial" w:hAnsi="Arial" w:cs="Arial"/>
          <w:sz w:val="20"/>
          <w:szCs w:val="20"/>
        </w:rPr>
        <w:t>akan</w:t>
      </w:r>
      <w:proofErr w:type="gramEnd"/>
      <w:r w:rsidRPr="00EE640E">
        <w:rPr>
          <w:rFonts w:ascii="Arial" w:hAnsi="Arial" w:cs="Arial"/>
          <w:sz w:val="20"/>
          <w:szCs w:val="20"/>
        </w:rPr>
        <w:t xml:space="preserve"> meningkatkan kemampuan deteksi genom EBV dalam darah pasien KNF. Hasil PCR dengan kondisi 35 siklus dapat mendeteksi 38,9% dan kondisi 50 siklus dapat meningkat positivitas deteksi genom EBV menjadi 75%. Mutirangura et al. (1998) menyatakan bahwa hasil positif dalam deteksi genom EBV pada penderita KNF dengan menggunakan metode PCR konvensional 35 siklus di Thailand adalah 13 dari 42 pasien (31%). Shotelersuk et al. (2000) mendapatkan hasil positif dalam deteksi genom EBV pada penderita K</w:t>
      </w:r>
      <w:r w:rsidR="00B3166D" w:rsidRPr="00EE640E">
        <w:rPr>
          <w:rFonts w:ascii="Arial" w:hAnsi="Arial" w:cs="Arial"/>
          <w:sz w:val="20"/>
          <w:szCs w:val="20"/>
        </w:rPr>
        <w:t>NF sebanyak 98 dari 167 penderit</w:t>
      </w:r>
      <w:r w:rsidRPr="00EE640E">
        <w:rPr>
          <w:rFonts w:ascii="Arial" w:hAnsi="Arial" w:cs="Arial"/>
          <w:sz w:val="20"/>
          <w:szCs w:val="20"/>
        </w:rPr>
        <w:t xml:space="preserve">a (60%) menggunakan metode </w:t>
      </w:r>
      <w:r w:rsidRPr="00EE640E">
        <w:rPr>
          <w:rFonts w:ascii="Arial" w:hAnsi="Arial" w:cs="Arial"/>
          <w:i/>
          <w:sz w:val="20"/>
          <w:szCs w:val="20"/>
        </w:rPr>
        <w:t>nested</w:t>
      </w:r>
      <w:r w:rsidRPr="00EE640E">
        <w:rPr>
          <w:rFonts w:ascii="Arial" w:hAnsi="Arial" w:cs="Arial"/>
          <w:sz w:val="20"/>
          <w:szCs w:val="20"/>
        </w:rPr>
        <w:t>-PCR di Thailand. Pada penelitian di Malaysia menunjukkan positivitas dete</w:t>
      </w:r>
      <w:r w:rsidR="003547B3" w:rsidRPr="00EE640E">
        <w:rPr>
          <w:rFonts w:ascii="Arial" w:hAnsi="Arial" w:cs="Arial"/>
          <w:sz w:val="20"/>
          <w:szCs w:val="20"/>
        </w:rPr>
        <w:t xml:space="preserve">ksi gen LMP1 yang terdelesi 30 </w:t>
      </w:r>
      <w:r w:rsidRPr="00EE640E">
        <w:rPr>
          <w:rFonts w:ascii="Arial" w:hAnsi="Arial" w:cs="Arial"/>
          <w:i/>
          <w:sz w:val="20"/>
          <w:szCs w:val="20"/>
        </w:rPr>
        <w:t>b</w:t>
      </w:r>
      <w:r w:rsidR="003547B3" w:rsidRPr="00EE640E">
        <w:rPr>
          <w:rFonts w:ascii="Arial" w:hAnsi="Arial" w:cs="Arial"/>
          <w:i/>
          <w:sz w:val="20"/>
          <w:szCs w:val="20"/>
        </w:rPr>
        <w:t>p</w:t>
      </w:r>
      <w:r w:rsidRPr="00EE640E">
        <w:rPr>
          <w:rFonts w:ascii="Arial" w:hAnsi="Arial" w:cs="Arial"/>
          <w:sz w:val="20"/>
          <w:szCs w:val="20"/>
        </w:rPr>
        <w:t xml:space="preserve"> pada penderita KNF tipe WHO III adalah 56% (H</w:t>
      </w:r>
      <w:r w:rsidR="001525E7" w:rsidRPr="00EE640E">
        <w:rPr>
          <w:rFonts w:ascii="Arial" w:hAnsi="Arial" w:cs="Arial"/>
          <w:sz w:val="20"/>
          <w:szCs w:val="20"/>
        </w:rPr>
        <w:t>s</w:t>
      </w:r>
      <w:r w:rsidRPr="00EE640E">
        <w:rPr>
          <w:rFonts w:ascii="Arial" w:hAnsi="Arial" w:cs="Arial"/>
          <w:sz w:val="20"/>
          <w:szCs w:val="20"/>
        </w:rPr>
        <w:t>u</w:t>
      </w:r>
      <w:r w:rsidR="001525E7" w:rsidRPr="00EE640E">
        <w:rPr>
          <w:rFonts w:ascii="Arial" w:hAnsi="Arial" w:cs="Arial"/>
          <w:sz w:val="20"/>
          <w:szCs w:val="20"/>
        </w:rPr>
        <w:t xml:space="preserve"> et al., 2009)</w:t>
      </w:r>
      <w:r w:rsidRPr="00EE640E">
        <w:rPr>
          <w:rFonts w:ascii="Arial" w:hAnsi="Arial" w:cs="Arial"/>
          <w:sz w:val="20"/>
          <w:szCs w:val="20"/>
        </w:rPr>
        <w:t>. Hasil penelitian ini dengan metoda PCR dua tahap menunjukkan positivitas gen BRLF1 sebesar 72</w:t>
      </w:r>
      <w:proofErr w:type="gramStart"/>
      <w:r w:rsidRPr="00EE640E">
        <w:rPr>
          <w:rFonts w:ascii="Arial" w:hAnsi="Arial" w:cs="Arial"/>
          <w:sz w:val="20"/>
          <w:szCs w:val="20"/>
        </w:rPr>
        <w:t>,73</w:t>
      </w:r>
      <w:proofErr w:type="gramEnd"/>
      <w:r w:rsidRPr="00EE640E">
        <w:rPr>
          <w:rFonts w:ascii="Arial" w:hAnsi="Arial" w:cs="Arial"/>
          <w:sz w:val="20"/>
          <w:szCs w:val="20"/>
        </w:rPr>
        <w:t xml:space="preserve">% mempunyai sensitivitas yang cukup tinggi, sehingga berpotensi untuk digunakan sebagai petanda molekul dalam diagnosis KNF. </w:t>
      </w:r>
    </w:p>
    <w:p w:rsidR="00115F54" w:rsidRPr="00EE640E" w:rsidRDefault="00115F54" w:rsidP="00EE640E">
      <w:pPr>
        <w:pStyle w:val="ListParagraph"/>
        <w:tabs>
          <w:tab w:val="left" w:pos="426"/>
        </w:tabs>
        <w:spacing w:after="0" w:line="240" w:lineRule="auto"/>
        <w:ind w:left="0" w:firstLine="426"/>
        <w:jc w:val="both"/>
        <w:rPr>
          <w:rFonts w:ascii="Arial" w:hAnsi="Arial" w:cs="Arial"/>
          <w:sz w:val="20"/>
          <w:szCs w:val="20"/>
        </w:rPr>
      </w:pPr>
      <w:r w:rsidRPr="00EE640E">
        <w:rPr>
          <w:rFonts w:ascii="Arial" w:hAnsi="Arial" w:cs="Arial"/>
          <w:sz w:val="20"/>
          <w:szCs w:val="20"/>
        </w:rPr>
        <w:t>Pada 6 dari 22 sampel penelitian (27</w:t>
      </w:r>
      <w:proofErr w:type="gramStart"/>
      <w:r w:rsidRPr="00EE640E">
        <w:rPr>
          <w:rFonts w:ascii="Arial" w:hAnsi="Arial" w:cs="Arial"/>
          <w:sz w:val="20"/>
          <w:szCs w:val="20"/>
        </w:rPr>
        <w:t>,27</w:t>
      </w:r>
      <w:proofErr w:type="gramEnd"/>
      <w:r w:rsidRPr="00EE640E">
        <w:rPr>
          <w:rFonts w:ascii="Arial" w:hAnsi="Arial" w:cs="Arial"/>
          <w:sz w:val="20"/>
          <w:szCs w:val="20"/>
        </w:rPr>
        <w:t>%) setelah diamplifikasi menggunakan metode PCR konvensional dua tahap tidak terdeteksi gen litik BRLF1 yang dapat disebabkan oleh beberapa hal, yaitu:</w:t>
      </w:r>
    </w:p>
    <w:p w:rsidR="00B3166D" w:rsidRPr="00EE640E" w:rsidRDefault="00115F54" w:rsidP="00B3166D">
      <w:pPr>
        <w:pStyle w:val="ListParagraph"/>
        <w:numPr>
          <w:ilvl w:val="0"/>
          <w:numId w:val="4"/>
        </w:numPr>
        <w:tabs>
          <w:tab w:val="left" w:pos="284"/>
        </w:tabs>
        <w:spacing w:after="0" w:line="240" w:lineRule="auto"/>
        <w:ind w:left="284" w:hanging="284"/>
        <w:jc w:val="both"/>
        <w:rPr>
          <w:rFonts w:ascii="Arial" w:hAnsi="Arial" w:cs="Arial"/>
          <w:sz w:val="20"/>
          <w:szCs w:val="20"/>
        </w:rPr>
      </w:pPr>
      <w:r w:rsidRPr="00EE640E">
        <w:rPr>
          <w:rFonts w:ascii="Arial" w:hAnsi="Arial" w:cs="Arial"/>
          <w:sz w:val="20"/>
          <w:szCs w:val="20"/>
        </w:rPr>
        <w:t>Konsentrasi dan kemurnian DNA EBV rendah</w:t>
      </w:r>
    </w:p>
    <w:p w:rsidR="00115F54" w:rsidRPr="00EE640E" w:rsidRDefault="00115F54" w:rsidP="00EE640E">
      <w:pPr>
        <w:pStyle w:val="ListParagraph"/>
        <w:tabs>
          <w:tab w:val="left" w:pos="284"/>
        </w:tabs>
        <w:spacing w:after="0" w:line="240" w:lineRule="auto"/>
        <w:ind w:left="284"/>
        <w:jc w:val="both"/>
        <w:rPr>
          <w:rFonts w:ascii="Arial" w:hAnsi="Arial" w:cs="Arial"/>
          <w:sz w:val="20"/>
          <w:szCs w:val="20"/>
        </w:rPr>
      </w:pPr>
      <w:r w:rsidRPr="00EE640E">
        <w:rPr>
          <w:rFonts w:ascii="Arial" w:hAnsi="Arial" w:cs="Arial"/>
          <w:sz w:val="20"/>
          <w:szCs w:val="20"/>
        </w:rPr>
        <w:t>Menurut Syafaruddin</w:t>
      </w:r>
      <w:r w:rsidR="003547B3" w:rsidRPr="00EE640E">
        <w:rPr>
          <w:rFonts w:ascii="Arial" w:hAnsi="Arial" w:cs="Arial"/>
          <w:sz w:val="20"/>
          <w:szCs w:val="20"/>
        </w:rPr>
        <w:t xml:space="preserve"> </w:t>
      </w:r>
      <w:r w:rsidRPr="00EE640E">
        <w:rPr>
          <w:rFonts w:ascii="Arial" w:hAnsi="Arial" w:cs="Arial"/>
          <w:sz w:val="20"/>
          <w:szCs w:val="20"/>
        </w:rPr>
        <w:t xml:space="preserve">&amp; Tri (2011), kualitas DNA yang </w:t>
      </w:r>
      <w:r w:rsidR="005855EB" w:rsidRPr="00EE640E">
        <w:rPr>
          <w:rFonts w:ascii="Arial" w:hAnsi="Arial" w:cs="Arial"/>
          <w:sz w:val="20"/>
          <w:szCs w:val="20"/>
        </w:rPr>
        <w:t>baik</w:t>
      </w:r>
      <w:r w:rsidRPr="00EE640E">
        <w:rPr>
          <w:rFonts w:ascii="Arial" w:hAnsi="Arial" w:cs="Arial"/>
          <w:sz w:val="20"/>
          <w:szCs w:val="20"/>
        </w:rPr>
        <w:t xml:space="preserve"> dan tidak terkontaminasi </w:t>
      </w:r>
      <w:proofErr w:type="gramStart"/>
      <w:r w:rsidRPr="00EE640E">
        <w:rPr>
          <w:rFonts w:ascii="Arial" w:hAnsi="Arial" w:cs="Arial"/>
          <w:sz w:val="20"/>
          <w:szCs w:val="20"/>
        </w:rPr>
        <w:t>akan</w:t>
      </w:r>
      <w:proofErr w:type="gramEnd"/>
      <w:r w:rsidRPr="00EE640E">
        <w:rPr>
          <w:rFonts w:ascii="Arial" w:hAnsi="Arial" w:cs="Arial"/>
          <w:sz w:val="20"/>
          <w:szCs w:val="20"/>
        </w:rPr>
        <w:t xml:space="preserve"> meghasilkan pola pita yang jelas ketika digunakan sebagai template PCR.</w:t>
      </w:r>
    </w:p>
    <w:p w:rsidR="00B3166D" w:rsidRPr="00EE640E" w:rsidRDefault="00115F54" w:rsidP="00B3166D">
      <w:pPr>
        <w:pStyle w:val="ListParagraph"/>
        <w:numPr>
          <w:ilvl w:val="0"/>
          <w:numId w:val="4"/>
        </w:numPr>
        <w:tabs>
          <w:tab w:val="left" w:pos="284"/>
        </w:tabs>
        <w:spacing w:after="0" w:line="240" w:lineRule="auto"/>
        <w:ind w:left="284" w:hanging="284"/>
        <w:jc w:val="both"/>
        <w:rPr>
          <w:rFonts w:ascii="Arial" w:hAnsi="Arial" w:cs="Arial"/>
          <w:sz w:val="20"/>
          <w:szCs w:val="20"/>
        </w:rPr>
      </w:pPr>
      <w:r w:rsidRPr="00EE640E">
        <w:rPr>
          <w:rFonts w:ascii="Arial" w:hAnsi="Arial" w:cs="Arial"/>
          <w:sz w:val="20"/>
          <w:szCs w:val="20"/>
        </w:rPr>
        <w:lastRenderedPageBreak/>
        <w:t>Adanya variasi genetik EBV</w:t>
      </w:r>
    </w:p>
    <w:p w:rsidR="00B3166D" w:rsidRPr="00EE640E" w:rsidRDefault="00115F54" w:rsidP="00EE640E">
      <w:pPr>
        <w:pStyle w:val="ListParagraph"/>
        <w:tabs>
          <w:tab w:val="left" w:pos="284"/>
        </w:tabs>
        <w:spacing w:after="0" w:line="240" w:lineRule="auto"/>
        <w:ind w:left="284"/>
        <w:jc w:val="both"/>
        <w:rPr>
          <w:rFonts w:ascii="Arial" w:hAnsi="Arial" w:cs="Arial"/>
          <w:sz w:val="20"/>
          <w:szCs w:val="20"/>
        </w:rPr>
      </w:pPr>
      <w:r w:rsidRPr="00EE640E">
        <w:rPr>
          <w:rFonts w:ascii="Arial" w:hAnsi="Arial" w:cs="Arial"/>
          <w:sz w:val="20"/>
          <w:szCs w:val="20"/>
        </w:rPr>
        <w:t>Mutasi basa nukleotida pada ujung 3’ di lokasi penempelan primer dapat mengakibatkan gen BRLF1 tidak terdeteksi karena amplifikasi fragmen gen ini tidak dapat berlangsung akibat gangguan</w:t>
      </w:r>
      <w:r w:rsidR="003547B3" w:rsidRPr="00EE640E">
        <w:rPr>
          <w:rFonts w:ascii="Arial" w:hAnsi="Arial" w:cs="Arial"/>
          <w:sz w:val="20"/>
          <w:szCs w:val="20"/>
        </w:rPr>
        <w:t xml:space="preserve"> pada tahap penempelan primer. </w:t>
      </w:r>
      <w:proofErr w:type="gramStart"/>
      <w:r w:rsidRPr="00EE640E">
        <w:rPr>
          <w:rFonts w:ascii="Arial" w:hAnsi="Arial" w:cs="Arial"/>
          <w:sz w:val="20"/>
          <w:szCs w:val="20"/>
        </w:rPr>
        <w:t xml:space="preserve">Karakteristik mutasi yang terjadi di ujung 3’ dari lokasi penempelan primer telah digunakan sebagai basis metode PCR </w:t>
      </w:r>
      <w:r w:rsidRPr="00EE640E">
        <w:rPr>
          <w:rFonts w:ascii="Arial" w:hAnsi="Arial" w:cs="Arial"/>
          <w:i/>
          <w:sz w:val="20"/>
          <w:szCs w:val="20"/>
        </w:rPr>
        <w:t>Sequence-Specific Primers</w:t>
      </w:r>
      <w:r w:rsidRPr="00EE640E">
        <w:rPr>
          <w:rFonts w:ascii="Arial" w:hAnsi="Arial" w:cs="Arial"/>
          <w:sz w:val="20"/>
          <w:szCs w:val="20"/>
        </w:rPr>
        <w:t xml:space="preserve"> (SSP) untuk menganalisis mutasi basa nuklotida tunggal.</w:t>
      </w:r>
      <w:proofErr w:type="gramEnd"/>
      <w:r w:rsidRPr="00EE640E">
        <w:rPr>
          <w:rFonts w:ascii="Arial" w:hAnsi="Arial" w:cs="Arial"/>
          <w:sz w:val="20"/>
          <w:szCs w:val="20"/>
        </w:rPr>
        <w:t xml:space="preserve"> PCR-SSP adalah suatu metode genotipik DNA berdasarkan penggunaan primer dengan urutan spesifik, di mana ketidaksesuaian satu basa pada ujung 3’ </w:t>
      </w:r>
      <w:proofErr w:type="gramStart"/>
      <w:r w:rsidRPr="00EE640E">
        <w:rPr>
          <w:rFonts w:ascii="Arial" w:hAnsi="Arial" w:cs="Arial"/>
          <w:sz w:val="20"/>
          <w:szCs w:val="20"/>
        </w:rPr>
        <w:t>akan</w:t>
      </w:r>
      <w:proofErr w:type="gramEnd"/>
      <w:r w:rsidRPr="00EE640E">
        <w:rPr>
          <w:rFonts w:ascii="Arial" w:hAnsi="Arial" w:cs="Arial"/>
          <w:sz w:val="20"/>
          <w:szCs w:val="20"/>
        </w:rPr>
        <w:t xml:space="preserve"> menghambat penempelan primer pada template yang tidak spesifik, sehingga hanya yang benar-benar spesifik saja yang akan diamplifikasi (Welsh &amp; Bunce, 1999).</w:t>
      </w:r>
    </w:p>
    <w:p w:rsidR="00B3166D" w:rsidRPr="00EE640E" w:rsidRDefault="00115F54" w:rsidP="00B3166D">
      <w:pPr>
        <w:pStyle w:val="ListParagraph"/>
        <w:numPr>
          <w:ilvl w:val="0"/>
          <w:numId w:val="4"/>
        </w:numPr>
        <w:tabs>
          <w:tab w:val="left" w:pos="284"/>
        </w:tabs>
        <w:spacing w:after="0" w:line="240" w:lineRule="auto"/>
        <w:ind w:left="284" w:hanging="284"/>
        <w:jc w:val="both"/>
        <w:rPr>
          <w:rFonts w:ascii="Arial" w:hAnsi="Arial" w:cs="Arial"/>
          <w:sz w:val="20"/>
          <w:szCs w:val="20"/>
        </w:rPr>
      </w:pPr>
      <w:r w:rsidRPr="00EE640E">
        <w:rPr>
          <w:rFonts w:ascii="Arial" w:hAnsi="Arial" w:cs="Arial"/>
          <w:sz w:val="20"/>
          <w:szCs w:val="20"/>
        </w:rPr>
        <w:t>Jumlah EBV dalam darah yang rendah</w:t>
      </w:r>
    </w:p>
    <w:p w:rsidR="000A0C1C" w:rsidRPr="00EE640E" w:rsidRDefault="00115F54" w:rsidP="00EE640E">
      <w:pPr>
        <w:pStyle w:val="ListParagraph"/>
        <w:tabs>
          <w:tab w:val="left" w:pos="284"/>
        </w:tabs>
        <w:spacing w:after="0" w:line="240" w:lineRule="auto"/>
        <w:ind w:left="284"/>
        <w:jc w:val="both"/>
        <w:rPr>
          <w:rFonts w:ascii="Arial" w:hAnsi="Arial" w:cs="Arial"/>
          <w:sz w:val="20"/>
          <w:szCs w:val="20"/>
        </w:rPr>
      </w:pPr>
      <w:r w:rsidRPr="00EE640E">
        <w:rPr>
          <w:rFonts w:ascii="Arial" w:hAnsi="Arial" w:cs="Arial"/>
          <w:sz w:val="20"/>
          <w:szCs w:val="20"/>
        </w:rPr>
        <w:t xml:space="preserve">Menurut Wong et al. (2004), jumlah </w:t>
      </w:r>
      <w:r w:rsidRPr="00EE640E">
        <w:rPr>
          <w:rFonts w:ascii="Arial" w:hAnsi="Arial" w:cs="Arial"/>
          <w:i/>
          <w:sz w:val="20"/>
          <w:szCs w:val="20"/>
        </w:rPr>
        <w:t xml:space="preserve">Cell-Free </w:t>
      </w:r>
      <w:r w:rsidRPr="00EE640E">
        <w:rPr>
          <w:rFonts w:ascii="Arial" w:hAnsi="Arial" w:cs="Arial"/>
          <w:sz w:val="20"/>
          <w:szCs w:val="20"/>
        </w:rPr>
        <w:t>DNA EBV di dalam sirkulasi pasien KNF sekitar 28</w:t>
      </w:r>
      <w:proofErr w:type="gramStart"/>
      <w:r w:rsidRPr="00EE640E">
        <w:rPr>
          <w:rFonts w:ascii="Arial" w:hAnsi="Arial" w:cs="Arial"/>
          <w:sz w:val="20"/>
          <w:szCs w:val="20"/>
        </w:rPr>
        <w:t>,79</w:t>
      </w:r>
      <w:proofErr w:type="gramEnd"/>
      <w:r w:rsidRPr="00EE640E">
        <w:rPr>
          <w:rFonts w:ascii="Arial" w:hAnsi="Arial" w:cs="Arial"/>
          <w:sz w:val="20"/>
          <w:szCs w:val="20"/>
        </w:rPr>
        <w:t xml:space="preserve"> ng/ml, sehingga jumlah genom EBV yang terlalu sedikit dalam darah pasien dapat menyebabkan tidak terdeteksinya gen BRLF1.</w:t>
      </w:r>
    </w:p>
    <w:p w:rsidR="0038654E" w:rsidRPr="00EE640E" w:rsidRDefault="00115F54" w:rsidP="0038654E">
      <w:pPr>
        <w:pStyle w:val="ListParagraph"/>
        <w:numPr>
          <w:ilvl w:val="0"/>
          <w:numId w:val="4"/>
        </w:numPr>
        <w:tabs>
          <w:tab w:val="left" w:pos="284"/>
        </w:tabs>
        <w:spacing w:after="0" w:line="240" w:lineRule="auto"/>
        <w:ind w:left="284" w:hanging="284"/>
        <w:jc w:val="both"/>
        <w:rPr>
          <w:rFonts w:ascii="Arial" w:hAnsi="Arial" w:cs="Arial"/>
          <w:sz w:val="20"/>
          <w:szCs w:val="20"/>
        </w:rPr>
      </w:pPr>
      <w:r w:rsidRPr="00EE640E">
        <w:rPr>
          <w:rFonts w:ascii="Arial" w:hAnsi="Arial" w:cs="Arial"/>
          <w:sz w:val="20"/>
          <w:szCs w:val="20"/>
        </w:rPr>
        <w:t>Tipe KNF</w:t>
      </w:r>
    </w:p>
    <w:p w:rsidR="00871445" w:rsidRPr="00EE640E" w:rsidRDefault="00115F54" w:rsidP="00EE640E">
      <w:pPr>
        <w:pStyle w:val="ListParagraph"/>
        <w:tabs>
          <w:tab w:val="left" w:pos="284"/>
        </w:tabs>
        <w:spacing w:after="0" w:line="240" w:lineRule="auto"/>
        <w:ind w:left="284"/>
        <w:jc w:val="both"/>
        <w:rPr>
          <w:rFonts w:ascii="Arial" w:hAnsi="Arial" w:cs="Arial"/>
          <w:sz w:val="20"/>
          <w:szCs w:val="20"/>
        </w:rPr>
      </w:pPr>
      <w:proofErr w:type="gramStart"/>
      <w:r w:rsidRPr="00EE640E">
        <w:rPr>
          <w:rFonts w:ascii="Arial" w:hAnsi="Arial" w:cs="Arial"/>
          <w:sz w:val="20"/>
          <w:szCs w:val="20"/>
        </w:rPr>
        <w:t>Tipe KNF dapat menyebabkan tidak terdeteksinya genom EBV dalam darah pas</w:t>
      </w:r>
      <w:r w:rsidR="00BC554A" w:rsidRPr="00EE640E">
        <w:rPr>
          <w:rFonts w:ascii="Arial" w:hAnsi="Arial" w:cs="Arial"/>
          <w:sz w:val="20"/>
          <w:szCs w:val="20"/>
        </w:rPr>
        <w:t xml:space="preserve">ien karena hanya KNF tipe WHO-3 </w:t>
      </w:r>
      <w:r w:rsidRPr="00EE640E">
        <w:rPr>
          <w:rFonts w:ascii="Arial" w:hAnsi="Arial" w:cs="Arial"/>
          <w:sz w:val="20"/>
          <w:szCs w:val="20"/>
        </w:rPr>
        <w:t>yang konsisten infeksi EBV.</w:t>
      </w:r>
      <w:proofErr w:type="gramEnd"/>
      <w:r w:rsidRPr="00EE640E">
        <w:rPr>
          <w:rFonts w:ascii="Arial" w:hAnsi="Arial" w:cs="Arial"/>
          <w:sz w:val="20"/>
          <w:szCs w:val="20"/>
        </w:rPr>
        <w:t xml:space="preserve"> </w:t>
      </w:r>
      <w:proofErr w:type="gramStart"/>
      <w:r w:rsidRPr="00EE640E">
        <w:rPr>
          <w:rFonts w:ascii="Arial" w:hAnsi="Arial" w:cs="Arial"/>
          <w:sz w:val="20"/>
          <w:szCs w:val="20"/>
        </w:rPr>
        <w:t>Sampel dengan nomor 20 berdasarkan hasil pemeriksaan patologi anatomi merupakan karsinoma sel squamosa invasif tidak berkeratin berdiferensiasi moderat atau KNF WHO-2.</w:t>
      </w:r>
      <w:proofErr w:type="gramEnd"/>
      <w:r w:rsidRPr="00EE640E">
        <w:rPr>
          <w:rFonts w:ascii="Arial" w:hAnsi="Arial" w:cs="Arial"/>
          <w:sz w:val="20"/>
          <w:szCs w:val="20"/>
        </w:rPr>
        <w:t xml:space="preserve"> </w:t>
      </w:r>
      <w:proofErr w:type="gramStart"/>
      <w:r w:rsidRPr="00EE640E">
        <w:rPr>
          <w:rFonts w:ascii="Arial" w:hAnsi="Arial" w:cs="Arial"/>
          <w:sz w:val="20"/>
          <w:szCs w:val="20"/>
        </w:rPr>
        <w:t>KNF TIPE WHO-3 dan sebagian KNF WHO-2 berhubungan erat dengan peningkatan titer EBV, sedangkan KNF WHO-1 tidak memperlihatkan karakteristik tersebut (Neel et al., 1984).</w:t>
      </w:r>
      <w:proofErr w:type="gramEnd"/>
      <w:r w:rsidRPr="00EE640E">
        <w:rPr>
          <w:rFonts w:ascii="Arial" w:hAnsi="Arial" w:cs="Arial"/>
          <w:sz w:val="20"/>
          <w:szCs w:val="20"/>
        </w:rPr>
        <w:t xml:space="preserve"> </w:t>
      </w:r>
      <w:proofErr w:type="gramStart"/>
      <w:r w:rsidRPr="00EE640E">
        <w:rPr>
          <w:rFonts w:ascii="Arial" w:hAnsi="Arial" w:cs="Arial"/>
          <w:sz w:val="20"/>
          <w:szCs w:val="20"/>
        </w:rPr>
        <w:t>Ariwibowo (2013) menambahkan bahwa konsisten</w:t>
      </w:r>
      <w:r w:rsidR="000A0C1C" w:rsidRPr="00EE640E">
        <w:rPr>
          <w:rFonts w:ascii="Arial" w:hAnsi="Arial" w:cs="Arial"/>
          <w:sz w:val="20"/>
          <w:szCs w:val="20"/>
        </w:rPr>
        <w:t xml:space="preserve">si infeksi EBV dengan KNF WHO-2 </w:t>
      </w:r>
      <w:r w:rsidRPr="00EE640E">
        <w:rPr>
          <w:rFonts w:ascii="Arial" w:hAnsi="Arial" w:cs="Arial"/>
          <w:sz w:val="20"/>
          <w:szCs w:val="20"/>
        </w:rPr>
        <w:t>kurang dari 50%, sedangkan konsistensi infeksi EBV dengan KNF WHO-3 berkisar 90%.</w:t>
      </w:r>
      <w:proofErr w:type="gramEnd"/>
    </w:p>
    <w:p w:rsidR="00871445" w:rsidRPr="00EE640E" w:rsidRDefault="00871445" w:rsidP="00871445">
      <w:pPr>
        <w:pStyle w:val="ListParagraph"/>
        <w:numPr>
          <w:ilvl w:val="0"/>
          <w:numId w:val="4"/>
        </w:numPr>
        <w:tabs>
          <w:tab w:val="left" w:pos="284"/>
        </w:tabs>
        <w:spacing w:after="0" w:line="240" w:lineRule="auto"/>
        <w:ind w:left="284" w:hanging="284"/>
        <w:jc w:val="both"/>
        <w:rPr>
          <w:rFonts w:ascii="Arial" w:hAnsi="Arial" w:cs="Arial"/>
          <w:sz w:val="20"/>
          <w:szCs w:val="20"/>
        </w:rPr>
      </w:pPr>
      <w:r w:rsidRPr="00EE640E">
        <w:rPr>
          <w:rFonts w:ascii="Arial" w:hAnsi="Arial" w:cs="Arial"/>
          <w:sz w:val="20"/>
          <w:szCs w:val="20"/>
        </w:rPr>
        <w:t>Tidak adanya EBV pada pasien KNF</w:t>
      </w:r>
    </w:p>
    <w:p w:rsidR="00B8572A" w:rsidRPr="00EE640E" w:rsidRDefault="00871445" w:rsidP="00EE640E">
      <w:pPr>
        <w:pStyle w:val="ListParagraph"/>
        <w:tabs>
          <w:tab w:val="left" w:pos="284"/>
        </w:tabs>
        <w:spacing w:after="0" w:line="240" w:lineRule="auto"/>
        <w:ind w:left="284"/>
        <w:jc w:val="both"/>
        <w:rPr>
          <w:rFonts w:ascii="Arial" w:hAnsi="Arial" w:cs="Arial"/>
          <w:sz w:val="20"/>
          <w:szCs w:val="20"/>
        </w:rPr>
      </w:pPr>
      <w:proofErr w:type="gramStart"/>
      <w:r w:rsidRPr="00EE640E">
        <w:rPr>
          <w:rFonts w:ascii="Arial" w:hAnsi="Arial" w:cs="Arial"/>
          <w:sz w:val="20"/>
          <w:szCs w:val="20"/>
        </w:rPr>
        <w:t>EBV memiliki hubungan kuat dan konsisten terhadap KNF.</w:t>
      </w:r>
      <w:proofErr w:type="gramEnd"/>
      <w:r w:rsidRPr="00EE640E">
        <w:rPr>
          <w:rFonts w:ascii="Arial" w:hAnsi="Arial" w:cs="Arial"/>
          <w:sz w:val="20"/>
          <w:szCs w:val="20"/>
        </w:rPr>
        <w:t xml:space="preserve"> Namun, selain EBV terdapat faktor-faktor risiko </w:t>
      </w:r>
      <w:proofErr w:type="gramStart"/>
      <w:r w:rsidRPr="00EE640E">
        <w:rPr>
          <w:rFonts w:ascii="Arial" w:hAnsi="Arial" w:cs="Arial"/>
          <w:sz w:val="20"/>
          <w:szCs w:val="20"/>
        </w:rPr>
        <w:t>lain</w:t>
      </w:r>
      <w:proofErr w:type="gramEnd"/>
      <w:r w:rsidRPr="00EE640E">
        <w:rPr>
          <w:rFonts w:ascii="Arial" w:hAnsi="Arial" w:cs="Arial"/>
          <w:sz w:val="20"/>
          <w:szCs w:val="20"/>
        </w:rPr>
        <w:t xml:space="preserve"> yang menyebabkan KNF. </w:t>
      </w:r>
      <w:proofErr w:type="gramStart"/>
      <w:r w:rsidRPr="00EE640E">
        <w:rPr>
          <w:rFonts w:ascii="Arial" w:hAnsi="Arial" w:cs="Arial"/>
          <w:sz w:val="20"/>
          <w:szCs w:val="20"/>
        </w:rPr>
        <w:t xml:space="preserve">Ariwibowo (2013) menyatakan bahwa selain EBV, riwayat keluarga dengan KNF memiliki </w:t>
      </w:r>
      <w:r w:rsidRPr="00EE640E">
        <w:rPr>
          <w:rFonts w:ascii="Arial" w:hAnsi="Arial" w:cs="Arial"/>
          <w:sz w:val="20"/>
          <w:szCs w:val="20"/>
        </w:rPr>
        <w:lastRenderedPageBreak/>
        <w:t xml:space="preserve">hubungan </w:t>
      </w:r>
      <w:r w:rsidR="00B8572A" w:rsidRPr="00EE640E">
        <w:rPr>
          <w:rFonts w:ascii="Arial" w:hAnsi="Arial" w:cs="Arial"/>
          <w:sz w:val="20"/>
          <w:szCs w:val="20"/>
        </w:rPr>
        <w:t>kuat dan konsisten terhadap KNF.</w:t>
      </w:r>
      <w:proofErr w:type="gramEnd"/>
      <w:r w:rsidR="00B8572A" w:rsidRPr="00EE640E">
        <w:rPr>
          <w:rFonts w:ascii="Arial" w:hAnsi="Arial" w:cs="Arial"/>
          <w:sz w:val="20"/>
          <w:szCs w:val="20"/>
        </w:rPr>
        <w:t xml:space="preserve"> </w:t>
      </w:r>
      <w:proofErr w:type="gramStart"/>
      <w:r w:rsidR="00B8572A" w:rsidRPr="00EE640E">
        <w:rPr>
          <w:rFonts w:ascii="Arial" w:hAnsi="Arial" w:cs="Arial"/>
          <w:sz w:val="20"/>
          <w:szCs w:val="20"/>
        </w:rPr>
        <w:t>Konsumsi ikan asin secara rutin dan genotip HLA kelas I memiliki hubungan sedang hingga kuat dan konsisten terhadap KNF.</w:t>
      </w:r>
      <w:proofErr w:type="gramEnd"/>
      <w:r w:rsidR="00B8572A" w:rsidRPr="00EE640E">
        <w:rPr>
          <w:rFonts w:ascii="Arial" w:hAnsi="Arial" w:cs="Arial"/>
          <w:sz w:val="20"/>
          <w:szCs w:val="20"/>
        </w:rPr>
        <w:t xml:space="preserve"> Faktor risiko yang tidak selalu konsisten yaitu kurang makan sayur dan buah, merokok, kondisi traktus pernafasan kronik, dan makanan berpengawet lain yang berhubungan lemah hingga sedang dengan KNF. </w:t>
      </w:r>
      <w:proofErr w:type="gramStart"/>
      <w:r w:rsidR="00B8572A" w:rsidRPr="00EE640E">
        <w:rPr>
          <w:rFonts w:ascii="Arial" w:hAnsi="Arial" w:cs="Arial"/>
          <w:sz w:val="20"/>
          <w:szCs w:val="20"/>
        </w:rPr>
        <w:t>Faktor risiko yang tidak konsisten meningkatkan KNF yaitu obat herbal, debu, dan formaldehid dengan kekuatan hubungan lemah hingga sedang.</w:t>
      </w:r>
      <w:proofErr w:type="gramEnd"/>
    </w:p>
    <w:p w:rsidR="00115F54" w:rsidRPr="00EE640E" w:rsidRDefault="00115F54" w:rsidP="007E59B1">
      <w:pPr>
        <w:autoSpaceDE w:val="0"/>
        <w:autoSpaceDN w:val="0"/>
        <w:adjustRightInd w:val="0"/>
        <w:spacing w:after="0" w:line="240" w:lineRule="auto"/>
        <w:ind w:firstLine="567"/>
        <w:jc w:val="both"/>
        <w:rPr>
          <w:rFonts w:ascii="Arial" w:hAnsi="Arial" w:cs="Arial"/>
          <w:sz w:val="20"/>
          <w:szCs w:val="20"/>
        </w:rPr>
      </w:pPr>
    </w:p>
    <w:p w:rsidR="00115F54" w:rsidRPr="00EE640E" w:rsidRDefault="000A5DA5" w:rsidP="000A0C1C">
      <w:pPr>
        <w:spacing w:after="0" w:line="360" w:lineRule="auto"/>
        <w:rPr>
          <w:rFonts w:ascii="Arial" w:hAnsi="Arial" w:cs="Arial"/>
          <w:b/>
          <w:sz w:val="20"/>
          <w:szCs w:val="20"/>
        </w:rPr>
      </w:pPr>
      <w:r w:rsidRPr="00EE640E">
        <w:rPr>
          <w:rFonts w:ascii="Arial" w:hAnsi="Arial" w:cs="Arial"/>
          <w:b/>
          <w:sz w:val="20"/>
          <w:szCs w:val="20"/>
        </w:rPr>
        <w:t>SIMPULAN</w:t>
      </w:r>
    </w:p>
    <w:p w:rsidR="00115F54" w:rsidRPr="00EE640E" w:rsidRDefault="00115F54" w:rsidP="00EE640E">
      <w:pPr>
        <w:spacing w:after="0" w:line="240" w:lineRule="auto"/>
        <w:ind w:firstLine="426"/>
        <w:jc w:val="both"/>
        <w:rPr>
          <w:rFonts w:ascii="Arial" w:hAnsi="Arial" w:cs="Arial"/>
          <w:sz w:val="20"/>
          <w:szCs w:val="20"/>
        </w:rPr>
      </w:pPr>
      <w:r w:rsidRPr="00EE640E">
        <w:rPr>
          <w:rFonts w:ascii="Arial" w:hAnsi="Arial" w:cs="Arial"/>
          <w:sz w:val="20"/>
          <w:szCs w:val="20"/>
        </w:rPr>
        <w:t>Berdasarkan hasil dan pembahasan penelitian, maka diperoleh kesimpulan bahwa g</w:t>
      </w:r>
      <w:r w:rsidRPr="00EE640E">
        <w:rPr>
          <w:rFonts w:ascii="Arial" w:hAnsi="Arial" w:cs="Arial"/>
          <w:sz w:val="20"/>
          <w:szCs w:val="20"/>
          <w:lang w:val="id-ID"/>
        </w:rPr>
        <w:t xml:space="preserve">en BRLF1 sebagai petanda molekuler siklus litik Epstein-Barr virus pada penderita </w:t>
      </w:r>
      <w:r w:rsidRPr="00EE640E">
        <w:rPr>
          <w:rFonts w:ascii="Arial" w:hAnsi="Arial" w:cs="Arial"/>
          <w:sz w:val="20"/>
          <w:szCs w:val="20"/>
        </w:rPr>
        <w:t>k</w:t>
      </w:r>
      <w:r w:rsidRPr="00EE640E">
        <w:rPr>
          <w:rFonts w:ascii="Arial" w:hAnsi="Arial" w:cs="Arial"/>
          <w:sz w:val="20"/>
          <w:szCs w:val="20"/>
          <w:lang w:val="id-ID"/>
        </w:rPr>
        <w:t xml:space="preserve">arsinoma </w:t>
      </w:r>
      <w:r w:rsidRPr="00EE640E">
        <w:rPr>
          <w:rFonts w:ascii="Arial" w:hAnsi="Arial" w:cs="Arial"/>
          <w:sz w:val="20"/>
          <w:szCs w:val="20"/>
        </w:rPr>
        <w:t>n</w:t>
      </w:r>
      <w:r w:rsidRPr="00EE640E">
        <w:rPr>
          <w:rFonts w:ascii="Arial" w:hAnsi="Arial" w:cs="Arial"/>
          <w:sz w:val="20"/>
          <w:szCs w:val="20"/>
          <w:lang w:val="id-ID"/>
        </w:rPr>
        <w:t>asofaring</w:t>
      </w:r>
      <w:r w:rsidRPr="00EE640E">
        <w:rPr>
          <w:rFonts w:ascii="Arial" w:hAnsi="Arial" w:cs="Arial"/>
          <w:sz w:val="20"/>
          <w:szCs w:val="20"/>
        </w:rPr>
        <w:t xml:space="preserve"> dapat diidentifikasi dengan teknik PCR konvensional dua tahap yang akan menghasilkan pita DNA berukuran 157 </w:t>
      </w:r>
      <w:r w:rsidRPr="00EE640E">
        <w:rPr>
          <w:rFonts w:ascii="Arial" w:hAnsi="Arial" w:cs="Arial"/>
          <w:i/>
          <w:sz w:val="20"/>
          <w:szCs w:val="20"/>
        </w:rPr>
        <w:t>bp</w:t>
      </w:r>
      <w:r w:rsidRPr="00EE640E">
        <w:rPr>
          <w:rFonts w:ascii="Arial" w:hAnsi="Arial" w:cs="Arial"/>
          <w:sz w:val="20"/>
          <w:szCs w:val="20"/>
        </w:rPr>
        <w:t xml:space="preserve"> dan sensitivitas metode PCR konvensional dalam mendeteksi gen BRLF1 yang didapatkan dalam penelitian ini adalah 72,27%.</w:t>
      </w:r>
    </w:p>
    <w:p w:rsidR="00A97E46" w:rsidRPr="00EE640E" w:rsidRDefault="00A97E46" w:rsidP="007E59B1">
      <w:pPr>
        <w:spacing w:after="0" w:line="240" w:lineRule="auto"/>
        <w:ind w:firstLine="567"/>
        <w:jc w:val="both"/>
        <w:rPr>
          <w:rFonts w:ascii="Arial" w:hAnsi="Arial" w:cs="Arial"/>
          <w:sz w:val="20"/>
          <w:szCs w:val="20"/>
        </w:rPr>
      </w:pPr>
    </w:p>
    <w:p w:rsidR="00A97E46" w:rsidRPr="00EE640E" w:rsidRDefault="00A97E46" w:rsidP="00EE640E">
      <w:pPr>
        <w:spacing w:after="0" w:line="240" w:lineRule="auto"/>
        <w:rPr>
          <w:rFonts w:ascii="Arial" w:hAnsi="Arial" w:cs="Arial"/>
          <w:b/>
          <w:sz w:val="20"/>
          <w:szCs w:val="20"/>
        </w:rPr>
      </w:pPr>
      <w:r w:rsidRPr="00EE640E">
        <w:rPr>
          <w:rFonts w:ascii="Arial" w:hAnsi="Arial" w:cs="Arial"/>
          <w:b/>
          <w:sz w:val="20"/>
          <w:szCs w:val="20"/>
        </w:rPr>
        <w:t>Ucapan Terima Kasih</w:t>
      </w:r>
    </w:p>
    <w:p w:rsidR="00F609B8" w:rsidRPr="00EE640E" w:rsidRDefault="00A97E46" w:rsidP="00EE640E">
      <w:pPr>
        <w:spacing w:after="0" w:line="240" w:lineRule="auto"/>
        <w:ind w:firstLine="426"/>
        <w:jc w:val="both"/>
        <w:rPr>
          <w:rFonts w:ascii="Arial" w:hAnsi="Arial" w:cs="Arial"/>
          <w:sz w:val="20"/>
          <w:szCs w:val="20"/>
        </w:rPr>
      </w:pPr>
      <w:proofErr w:type="gramStart"/>
      <w:r w:rsidRPr="00EE640E">
        <w:rPr>
          <w:rFonts w:ascii="Arial" w:hAnsi="Arial" w:cs="Arial"/>
          <w:sz w:val="20"/>
          <w:szCs w:val="20"/>
        </w:rPr>
        <w:t>Terima kasih</w:t>
      </w:r>
      <w:r w:rsidR="00BC554A" w:rsidRPr="00EE640E">
        <w:rPr>
          <w:rFonts w:ascii="Arial" w:hAnsi="Arial" w:cs="Arial"/>
          <w:sz w:val="20"/>
          <w:szCs w:val="20"/>
        </w:rPr>
        <w:t xml:space="preserve"> kepada pembimbing skripsi Dr. Daniel Joko Wahyono, </w:t>
      </w:r>
      <w:r w:rsidRPr="00EE640E">
        <w:rPr>
          <w:rFonts w:ascii="Arial" w:hAnsi="Arial" w:cs="Arial"/>
          <w:sz w:val="20"/>
          <w:szCs w:val="20"/>
        </w:rPr>
        <w:t>M.Biomed.</w:t>
      </w:r>
      <w:proofErr w:type="gramEnd"/>
      <w:r w:rsidRPr="00EE640E">
        <w:rPr>
          <w:rFonts w:ascii="Arial" w:hAnsi="Arial" w:cs="Arial"/>
          <w:sz w:val="20"/>
          <w:szCs w:val="20"/>
        </w:rPr>
        <w:t xml:space="preserve"> dan dr. Nur Signa Aini Gumilas, M.Biotech, dosen-dosen Fakultas Biologi Unsoed, Staf RSUD Prof. dr. Margono Soekarjo Purwokerto, dan pihak-pihak lain yang terkait yang telah membantu penulis menyelesaikan tugas akhir ini, sehingga penulis dapat memperoleh gelar sarjana </w:t>
      </w:r>
      <w:r w:rsidR="00BC554A" w:rsidRPr="00EE640E">
        <w:rPr>
          <w:rFonts w:ascii="Arial" w:hAnsi="Arial" w:cs="Arial"/>
          <w:sz w:val="20"/>
          <w:szCs w:val="20"/>
        </w:rPr>
        <w:t>sains di Fakultas Biologi, Universitas Jenderal Soedirman</w:t>
      </w:r>
      <w:r w:rsidRPr="00EE640E">
        <w:rPr>
          <w:rFonts w:ascii="Arial" w:hAnsi="Arial" w:cs="Arial"/>
          <w:sz w:val="20"/>
          <w:szCs w:val="20"/>
        </w:rPr>
        <w:t>.</w:t>
      </w:r>
    </w:p>
    <w:p w:rsidR="00B8572A" w:rsidRPr="00EE640E" w:rsidRDefault="00B8572A" w:rsidP="00B8572A">
      <w:pPr>
        <w:spacing w:after="0" w:line="240" w:lineRule="auto"/>
        <w:ind w:firstLine="567"/>
        <w:jc w:val="both"/>
        <w:rPr>
          <w:rFonts w:ascii="Arial" w:hAnsi="Arial" w:cs="Arial"/>
          <w:sz w:val="20"/>
          <w:szCs w:val="20"/>
        </w:rPr>
      </w:pPr>
    </w:p>
    <w:p w:rsidR="00B8572A" w:rsidRPr="00EE640E" w:rsidRDefault="00B8572A" w:rsidP="00BC554A">
      <w:pPr>
        <w:spacing w:after="0" w:line="360" w:lineRule="auto"/>
        <w:jc w:val="both"/>
        <w:rPr>
          <w:rFonts w:ascii="Arial" w:hAnsi="Arial" w:cs="Arial"/>
          <w:sz w:val="18"/>
          <w:szCs w:val="18"/>
        </w:rPr>
      </w:pPr>
      <w:r w:rsidRPr="00EE640E">
        <w:rPr>
          <w:rFonts w:ascii="Arial" w:hAnsi="Arial" w:cs="Arial"/>
          <w:b/>
          <w:sz w:val="18"/>
          <w:szCs w:val="18"/>
        </w:rPr>
        <w:t>DAFTAR REFERENSI</w:t>
      </w:r>
    </w:p>
    <w:p w:rsidR="00B8572A" w:rsidRPr="00EE640E" w:rsidRDefault="00B8572A"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Ariwibowo, H., 2013. Faktor Risiko Karsinoma Nasofaring. </w:t>
      </w:r>
      <w:r w:rsidRPr="00EE640E">
        <w:rPr>
          <w:rFonts w:ascii="Arial" w:hAnsi="Arial" w:cs="Arial"/>
          <w:i/>
          <w:sz w:val="18"/>
          <w:szCs w:val="18"/>
        </w:rPr>
        <w:t>CDK-204</w:t>
      </w:r>
      <w:r w:rsidRPr="00EE640E">
        <w:rPr>
          <w:rFonts w:ascii="Arial" w:hAnsi="Arial" w:cs="Arial"/>
          <w:sz w:val="18"/>
          <w:szCs w:val="18"/>
        </w:rPr>
        <w:t>, 40(5), pp. 348-251.</w:t>
      </w:r>
    </w:p>
    <w:p w:rsidR="00B8572A" w:rsidRPr="00EE640E" w:rsidRDefault="00B8572A"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Barnes, L., Eveson J. W., Reichart P. &amp; Sidransky D., 2005. </w:t>
      </w:r>
      <w:proofErr w:type="gramStart"/>
      <w:r w:rsidRPr="00EE640E">
        <w:rPr>
          <w:rFonts w:ascii="Arial" w:hAnsi="Arial" w:cs="Arial"/>
          <w:sz w:val="18"/>
          <w:szCs w:val="18"/>
        </w:rPr>
        <w:t>World Health Organization Classification of Tumours.</w:t>
      </w:r>
      <w:proofErr w:type="gramEnd"/>
      <w:r w:rsidRPr="00EE640E">
        <w:rPr>
          <w:rFonts w:ascii="Arial" w:hAnsi="Arial" w:cs="Arial"/>
          <w:sz w:val="18"/>
          <w:szCs w:val="18"/>
        </w:rPr>
        <w:t xml:space="preserve"> </w:t>
      </w:r>
      <w:proofErr w:type="gramStart"/>
      <w:r w:rsidRPr="00EE640E">
        <w:rPr>
          <w:rFonts w:ascii="Arial" w:hAnsi="Arial" w:cs="Arial"/>
          <w:sz w:val="18"/>
          <w:szCs w:val="18"/>
        </w:rPr>
        <w:t>Pathology and Genetics of Head and Neck Tumours.</w:t>
      </w:r>
      <w:proofErr w:type="gramEnd"/>
      <w:r w:rsidRPr="00EE640E">
        <w:rPr>
          <w:rFonts w:ascii="Arial" w:hAnsi="Arial" w:cs="Arial"/>
          <w:sz w:val="18"/>
          <w:szCs w:val="18"/>
        </w:rPr>
        <w:t xml:space="preserve"> Lyon: IARC Press. </w:t>
      </w:r>
    </w:p>
    <w:p w:rsidR="00B8572A" w:rsidRPr="00EE640E" w:rsidRDefault="00B8572A"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Bhende, P. M., Seaman W. T., Delecluse H. J. &amp; Kenney, S. C., 2004.</w:t>
      </w:r>
      <w:proofErr w:type="gramEnd"/>
      <w:r w:rsidRPr="00EE640E">
        <w:rPr>
          <w:rFonts w:ascii="Arial" w:hAnsi="Arial" w:cs="Arial"/>
          <w:sz w:val="18"/>
          <w:szCs w:val="18"/>
        </w:rPr>
        <w:t xml:space="preserve"> The EBV Switch Protein Z, Preferentially Binds and Activates the Methylated Viral Genom. Nat Genet, 36(10), pp. 1999-2004.</w:t>
      </w:r>
    </w:p>
    <w:p w:rsidR="00B8572A" w:rsidRPr="00EE640E" w:rsidRDefault="00B8572A" w:rsidP="00EE640E">
      <w:pPr>
        <w:spacing w:after="0" w:line="240" w:lineRule="auto"/>
        <w:ind w:left="426" w:hanging="426"/>
        <w:jc w:val="both"/>
        <w:rPr>
          <w:rFonts w:ascii="Arial" w:hAnsi="Arial" w:cs="Arial"/>
          <w:sz w:val="18"/>
          <w:szCs w:val="18"/>
        </w:rPr>
      </w:pPr>
      <w:r w:rsidRPr="00EE640E">
        <w:rPr>
          <w:rFonts w:ascii="Arial" w:hAnsi="Arial" w:cs="Arial"/>
          <w:sz w:val="18"/>
          <w:szCs w:val="18"/>
        </w:rPr>
        <w:lastRenderedPageBreak/>
        <w:t xml:space="preserve">Cacais, A. O. G., 2008. Immunological Consequences of </w:t>
      </w:r>
      <w:proofErr w:type="gramStart"/>
      <w:r w:rsidRPr="00EE640E">
        <w:rPr>
          <w:rFonts w:ascii="Arial" w:hAnsi="Arial" w:cs="Arial"/>
          <w:sz w:val="18"/>
          <w:szCs w:val="18"/>
        </w:rPr>
        <w:t>Epstein-Barr Virus</w:t>
      </w:r>
      <w:proofErr w:type="gramEnd"/>
      <w:r w:rsidRPr="00EE640E">
        <w:rPr>
          <w:rFonts w:ascii="Arial" w:hAnsi="Arial" w:cs="Arial"/>
          <w:sz w:val="18"/>
          <w:szCs w:val="18"/>
        </w:rPr>
        <w:t xml:space="preserve"> Replication. </w:t>
      </w:r>
      <w:proofErr w:type="gramStart"/>
      <w:r w:rsidRPr="00EE640E">
        <w:rPr>
          <w:rFonts w:ascii="Arial" w:hAnsi="Arial" w:cs="Arial"/>
          <w:sz w:val="18"/>
          <w:szCs w:val="18"/>
        </w:rPr>
        <w:t>Dissertation.</w:t>
      </w:r>
      <w:proofErr w:type="gramEnd"/>
      <w:r w:rsidRPr="00EE640E">
        <w:rPr>
          <w:rFonts w:ascii="Arial" w:hAnsi="Arial" w:cs="Arial"/>
          <w:sz w:val="18"/>
          <w:szCs w:val="18"/>
        </w:rPr>
        <w:t xml:space="preserve"> Stockholm, Sweden: Department of Microbiology, Tumor and Cell Biology, Karolinska Institutet.</w:t>
      </w:r>
    </w:p>
    <w:p w:rsidR="00B8572A" w:rsidRPr="00EE640E" w:rsidRDefault="00B8572A"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Chang, E. T. &amp; Adami H. O., 2006.</w:t>
      </w:r>
      <w:proofErr w:type="gramEnd"/>
      <w:r w:rsidRPr="00EE640E">
        <w:rPr>
          <w:rFonts w:ascii="Arial" w:hAnsi="Arial" w:cs="Arial"/>
          <w:sz w:val="18"/>
          <w:szCs w:val="18"/>
        </w:rPr>
        <w:t xml:space="preserve"> </w:t>
      </w:r>
      <w:proofErr w:type="gramStart"/>
      <w:r w:rsidRPr="00EE640E">
        <w:rPr>
          <w:rFonts w:ascii="Arial" w:hAnsi="Arial" w:cs="Arial"/>
          <w:sz w:val="18"/>
          <w:szCs w:val="18"/>
        </w:rPr>
        <w:t>The Enigmatic Epidemiology of Nasoparhyngeal Carcinoma.</w:t>
      </w:r>
      <w:proofErr w:type="gramEnd"/>
      <w:r w:rsidRPr="00EE640E">
        <w:rPr>
          <w:rFonts w:ascii="Arial" w:hAnsi="Arial" w:cs="Arial"/>
          <w:sz w:val="18"/>
          <w:szCs w:val="18"/>
        </w:rPr>
        <w:t xml:space="preserve"> Cancer Epidemiol Biomarkers Prev, 15, pp. 1765-1777.</w:t>
      </w:r>
    </w:p>
    <w:p w:rsidR="00B8572A" w:rsidRPr="00EE640E" w:rsidRDefault="00B8572A"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Chang, Y., Chang S. S., Lee H. H., Doong S. L., Takada K. &amp; Tsai C. H., 2004. Inhibition of the </w:t>
      </w:r>
      <w:proofErr w:type="gramStart"/>
      <w:r w:rsidRPr="00EE640E">
        <w:rPr>
          <w:rFonts w:ascii="Arial" w:hAnsi="Arial" w:cs="Arial"/>
          <w:sz w:val="18"/>
          <w:szCs w:val="18"/>
        </w:rPr>
        <w:t>Epstein-Barr Virus</w:t>
      </w:r>
      <w:proofErr w:type="gramEnd"/>
      <w:r w:rsidRPr="00EE640E">
        <w:rPr>
          <w:rFonts w:ascii="Arial" w:hAnsi="Arial" w:cs="Arial"/>
          <w:sz w:val="18"/>
          <w:szCs w:val="18"/>
        </w:rPr>
        <w:t xml:space="preserve"> Lytic Cycle by Zta-targeted RNA Interference. J  Gen Virol, 85, pp. 1371-1379.</w:t>
      </w:r>
    </w:p>
    <w:p w:rsidR="00B8572A" w:rsidRPr="00EE640E" w:rsidRDefault="00B8572A" w:rsidP="00EE640E">
      <w:pPr>
        <w:spacing w:after="0" w:line="240" w:lineRule="auto"/>
        <w:ind w:left="426" w:hanging="426"/>
        <w:jc w:val="both"/>
        <w:rPr>
          <w:rFonts w:ascii="Arial" w:hAnsi="Arial" w:cs="Arial"/>
          <w:sz w:val="18"/>
          <w:szCs w:val="18"/>
        </w:rPr>
      </w:pPr>
      <w:r w:rsidRPr="00EE640E">
        <w:rPr>
          <w:rFonts w:ascii="Arial" w:hAnsi="Arial" w:cs="Arial"/>
          <w:sz w:val="18"/>
          <w:szCs w:val="18"/>
        </w:rPr>
        <w:t>Cho, W. C., 2007. Nasopharyngeal Carcinoma: Molecular Discovery and Progress. Mol Cancer, 6(1), pp. 43-56.</w:t>
      </w:r>
    </w:p>
    <w:p w:rsidR="00B8572A" w:rsidRPr="00EE640E" w:rsidRDefault="00B8572A"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Cottrill C. P. &amp; Nutting C. M., 2003.</w:t>
      </w:r>
      <w:proofErr w:type="gramEnd"/>
      <w:r w:rsidRPr="00EE640E">
        <w:rPr>
          <w:rFonts w:ascii="Arial" w:hAnsi="Arial" w:cs="Arial"/>
          <w:sz w:val="18"/>
          <w:szCs w:val="18"/>
        </w:rPr>
        <w:t xml:space="preserve"> </w:t>
      </w:r>
      <w:proofErr w:type="gramStart"/>
      <w:r w:rsidRPr="00EE640E">
        <w:rPr>
          <w:rFonts w:ascii="Arial" w:hAnsi="Arial" w:cs="Arial"/>
          <w:sz w:val="18"/>
          <w:szCs w:val="18"/>
        </w:rPr>
        <w:t>Tumors at the Nasopharynx.</w:t>
      </w:r>
      <w:proofErr w:type="gramEnd"/>
      <w:r w:rsidRPr="00EE640E">
        <w:rPr>
          <w:rFonts w:ascii="Arial" w:hAnsi="Arial" w:cs="Arial"/>
          <w:sz w:val="18"/>
          <w:szCs w:val="18"/>
        </w:rPr>
        <w:t xml:space="preserve"> London: Martin Dunitz.</w:t>
      </w:r>
    </w:p>
    <w:p w:rsidR="00B8572A" w:rsidRPr="00EE640E" w:rsidRDefault="00B8572A"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Fachiroh, J., Schouten T. &amp; Hariwiyanto B., 2004.</w:t>
      </w:r>
      <w:proofErr w:type="gramEnd"/>
      <w:r w:rsidRPr="00EE640E">
        <w:rPr>
          <w:rFonts w:ascii="Arial" w:hAnsi="Arial" w:cs="Arial"/>
          <w:sz w:val="18"/>
          <w:szCs w:val="18"/>
        </w:rPr>
        <w:t xml:space="preserve"> Molecular Diversity of </w:t>
      </w:r>
      <w:proofErr w:type="gramStart"/>
      <w:r w:rsidRPr="00EE640E">
        <w:rPr>
          <w:rFonts w:ascii="Arial" w:hAnsi="Arial" w:cs="Arial"/>
          <w:sz w:val="18"/>
          <w:szCs w:val="18"/>
        </w:rPr>
        <w:t>Epstein-Barr Virus</w:t>
      </w:r>
      <w:proofErr w:type="gramEnd"/>
      <w:r w:rsidRPr="00EE640E">
        <w:rPr>
          <w:rFonts w:ascii="Arial" w:hAnsi="Arial" w:cs="Arial"/>
          <w:sz w:val="18"/>
          <w:szCs w:val="18"/>
        </w:rPr>
        <w:t xml:space="preserve"> IgG and IgA Antibody Responses in Nasopharyngeal Carcinoma: A Comparison of Indonesian, Chinese and Europen Subject. The J of Infectious Diseases, 190(1), pp. 53-62.</w:t>
      </w:r>
    </w:p>
    <w:p w:rsidR="00B8572A" w:rsidRPr="00EE640E" w:rsidRDefault="00B8572A"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Fles, R., Wilderman M. A., Sulistiono B., Haryana S. M. &amp; Tan I. B., 2010. </w:t>
      </w:r>
      <w:proofErr w:type="gramStart"/>
      <w:r w:rsidRPr="00EE640E">
        <w:rPr>
          <w:rFonts w:ascii="Arial" w:hAnsi="Arial" w:cs="Arial"/>
          <w:sz w:val="18"/>
          <w:szCs w:val="18"/>
        </w:rPr>
        <w:t>Knowledge of General Practioners about Nasopharyngeal Cancer at Puskesmas in Yogyakarta, Indonesia.</w:t>
      </w:r>
      <w:proofErr w:type="gramEnd"/>
      <w:r w:rsidRPr="00EE640E">
        <w:rPr>
          <w:rFonts w:ascii="Arial" w:hAnsi="Arial" w:cs="Arial"/>
          <w:sz w:val="18"/>
          <w:szCs w:val="18"/>
        </w:rPr>
        <w:t xml:space="preserve"> BMC Medical Education, 10(81), pp. 1-6.</w:t>
      </w:r>
    </w:p>
    <w:p w:rsidR="00B8572A" w:rsidRPr="00EE640E" w:rsidRDefault="00B8572A"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Gautama, E. E., Hariwiyanto, B., Rianto, B. U. D. &amp; Christanto, A., 2001. </w:t>
      </w:r>
      <w:proofErr w:type="gramStart"/>
      <w:r w:rsidRPr="00EE640E">
        <w:rPr>
          <w:rFonts w:ascii="Arial" w:hAnsi="Arial" w:cs="Arial"/>
          <w:sz w:val="18"/>
          <w:szCs w:val="18"/>
        </w:rPr>
        <w:t>Gangguan Indra Pengecap dan Penghidu Pasca-terapi Karsinoma Nasofaring.</w:t>
      </w:r>
      <w:proofErr w:type="gramEnd"/>
      <w:r w:rsidRPr="00EE640E">
        <w:rPr>
          <w:rFonts w:ascii="Arial" w:hAnsi="Arial" w:cs="Arial"/>
          <w:sz w:val="18"/>
          <w:szCs w:val="18"/>
        </w:rPr>
        <w:t xml:space="preserve"> CDK 187, 38(6), pp. 437-437.</w:t>
      </w:r>
    </w:p>
    <w:p w:rsidR="00B8572A" w:rsidRPr="00EE640E" w:rsidRDefault="00B8572A"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Haryanto, A., &amp; Sofia M., 2012.</w:t>
      </w:r>
      <w:proofErr w:type="gramEnd"/>
      <w:r w:rsidRPr="00EE640E">
        <w:rPr>
          <w:rFonts w:ascii="Arial" w:hAnsi="Arial" w:cs="Arial"/>
          <w:sz w:val="18"/>
          <w:szCs w:val="18"/>
        </w:rPr>
        <w:t xml:space="preserve"> Isolasi dan Amplifikasi Gen Penyandi Domain C-Terminus Latent Membrane Protein (LMP-I) </w:t>
      </w:r>
      <w:proofErr w:type="gramStart"/>
      <w:r w:rsidRPr="00EE640E">
        <w:rPr>
          <w:rFonts w:ascii="Arial" w:hAnsi="Arial" w:cs="Arial"/>
          <w:sz w:val="18"/>
          <w:szCs w:val="18"/>
        </w:rPr>
        <w:t>Epstein-barr Virus</w:t>
      </w:r>
      <w:proofErr w:type="gramEnd"/>
      <w:r w:rsidRPr="00EE640E">
        <w:rPr>
          <w:rFonts w:ascii="Arial" w:hAnsi="Arial" w:cs="Arial"/>
          <w:sz w:val="18"/>
          <w:szCs w:val="18"/>
        </w:rPr>
        <w:t xml:space="preserve"> (EBV) dari Penderita Karsinoma Nasofaring (KNF). J Sain Vet, 18(2), pp. 1-7.</w:t>
      </w:r>
    </w:p>
    <w:p w:rsidR="00B8572A" w:rsidRPr="00EE640E" w:rsidRDefault="00B8572A" w:rsidP="00EE640E">
      <w:pPr>
        <w:spacing w:after="0" w:line="240" w:lineRule="auto"/>
        <w:ind w:left="426" w:hanging="426"/>
        <w:jc w:val="both"/>
        <w:rPr>
          <w:rFonts w:ascii="Arial" w:hAnsi="Arial" w:cs="Arial"/>
          <w:sz w:val="18"/>
          <w:szCs w:val="18"/>
        </w:rPr>
      </w:pPr>
      <w:r w:rsidRPr="00EE640E">
        <w:rPr>
          <w:rFonts w:ascii="Arial" w:hAnsi="Arial" w:cs="Arial"/>
          <w:sz w:val="18"/>
          <w:szCs w:val="18"/>
        </w:rPr>
        <w:t>Hsiao, J. R., Yin T. J. &amp; Sen T. T., 2002.</w:t>
      </w:r>
      <w:r w:rsidR="00BC554A" w:rsidRPr="00EE640E">
        <w:rPr>
          <w:rFonts w:ascii="Arial" w:hAnsi="Arial" w:cs="Arial"/>
          <w:sz w:val="18"/>
          <w:szCs w:val="18"/>
        </w:rPr>
        <w:t xml:space="preserve"> Detection of Cell Free </w:t>
      </w:r>
      <w:proofErr w:type="gramStart"/>
      <w:r w:rsidR="00BC554A" w:rsidRPr="00EE640E">
        <w:rPr>
          <w:rFonts w:ascii="Arial" w:hAnsi="Arial" w:cs="Arial"/>
          <w:sz w:val="18"/>
          <w:szCs w:val="18"/>
        </w:rPr>
        <w:t>Epstein-</w:t>
      </w:r>
      <w:r w:rsidRPr="00EE640E">
        <w:rPr>
          <w:rFonts w:ascii="Arial" w:hAnsi="Arial" w:cs="Arial"/>
          <w:sz w:val="18"/>
          <w:szCs w:val="18"/>
        </w:rPr>
        <w:t>Barr Virus</w:t>
      </w:r>
      <w:proofErr w:type="gramEnd"/>
      <w:r w:rsidRPr="00EE640E">
        <w:rPr>
          <w:rFonts w:ascii="Arial" w:hAnsi="Arial" w:cs="Arial"/>
          <w:sz w:val="18"/>
          <w:szCs w:val="18"/>
        </w:rPr>
        <w:t xml:space="preserve"> DNA in Sera from Patients with Nasopharyngeal Carcinoma. Cancer, 94(3), pp. 723-729.</w:t>
      </w:r>
    </w:p>
    <w:p w:rsidR="00B8572A" w:rsidRPr="00EE640E" w:rsidRDefault="00BC554A" w:rsidP="00EE640E">
      <w:pPr>
        <w:spacing w:after="0" w:line="240" w:lineRule="auto"/>
        <w:ind w:left="426" w:hanging="426"/>
        <w:jc w:val="both"/>
        <w:rPr>
          <w:rFonts w:ascii="Arial" w:hAnsi="Arial" w:cs="Arial"/>
          <w:sz w:val="18"/>
          <w:szCs w:val="18"/>
        </w:rPr>
      </w:pPr>
      <w:r w:rsidRPr="00EE640E">
        <w:rPr>
          <w:rFonts w:ascii="Arial" w:hAnsi="Arial" w:cs="Arial"/>
          <w:sz w:val="18"/>
          <w:szCs w:val="18"/>
        </w:rPr>
        <w:t>Hsu W. L., Chen J. Y.</w:t>
      </w:r>
      <w:r w:rsidR="00B8572A" w:rsidRPr="00EE640E">
        <w:rPr>
          <w:rFonts w:ascii="Arial" w:hAnsi="Arial" w:cs="Arial"/>
          <w:sz w:val="18"/>
          <w:szCs w:val="18"/>
        </w:rPr>
        <w:t xml:space="preserve"> &amp; Chien Y. C., 2009. Independent Effect of EBV and Cigarette Smoking on Nasopharyngeal Carcinoma: a 20-Year Follow-Up Study on 9,622 Males without Family History in Taiwan. Cancer Epidemiol Biomarkers Prev, 18(1), pp. 1218-1226.</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Jemal, A., Bray F., C</w:t>
      </w:r>
      <w:r w:rsidR="00BC554A" w:rsidRPr="00EE640E">
        <w:rPr>
          <w:rFonts w:ascii="Arial" w:hAnsi="Arial" w:cs="Arial"/>
          <w:sz w:val="18"/>
          <w:szCs w:val="18"/>
        </w:rPr>
        <w:t>enter C. C., Ferlay J., Ward E.</w:t>
      </w:r>
      <w:r w:rsidRPr="00EE640E">
        <w:rPr>
          <w:rFonts w:ascii="Arial" w:hAnsi="Arial" w:cs="Arial"/>
          <w:sz w:val="18"/>
          <w:szCs w:val="18"/>
        </w:rPr>
        <w:t xml:space="preserve"> &amp; Forman D., 2011. </w:t>
      </w:r>
      <w:proofErr w:type="gramStart"/>
      <w:r w:rsidRPr="00EE640E">
        <w:rPr>
          <w:rFonts w:ascii="Arial" w:hAnsi="Arial" w:cs="Arial"/>
          <w:sz w:val="18"/>
          <w:szCs w:val="18"/>
        </w:rPr>
        <w:t>Global Cancer Statistics.</w:t>
      </w:r>
      <w:proofErr w:type="gramEnd"/>
      <w:r w:rsidRPr="00EE640E">
        <w:rPr>
          <w:rFonts w:ascii="Arial" w:hAnsi="Arial" w:cs="Arial"/>
          <w:sz w:val="18"/>
          <w:szCs w:val="18"/>
        </w:rPr>
        <w:t xml:space="preserve"> </w:t>
      </w:r>
      <w:r w:rsidRPr="00EE640E">
        <w:rPr>
          <w:rFonts w:ascii="Arial" w:hAnsi="Arial" w:cs="Arial"/>
          <w:i/>
          <w:sz w:val="18"/>
          <w:szCs w:val="18"/>
        </w:rPr>
        <w:t>Ca Cancer J Clin</w:t>
      </w:r>
      <w:r w:rsidRPr="00EE640E">
        <w:rPr>
          <w:rFonts w:ascii="Arial" w:hAnsi="Arial" w:cs="Arial"/>
          <w:sz w:val="18"/>
          <w:szCs w:val="18"/>
        </w:rPr>
        <w:t>, 61, pp. 69-90.</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Kenway N., Leung S. F., Johson P.J. &amp; Woo J., 2004. </w:t>
      </w:r>
      <w:proofErr w:type="gramStart"/>
      <w:r w:rsidRPr="00EE640E">
        <w:rPr>
          <w:rFonts w:ascii="Arial" w:hAnsi="Arial" w:cs="Arial"/>
          <w:sz w:val="18"/>
          <w:szCs w:val="18"/>
        </w:rPr>
        <w:t xml:space="preserve">Nutritional Consequences of </w:t>
      </w:r>
      <w:r w:rsidRPr="00EE640E">
        <w:rPr>
          <w:rFonts w:ascii="Arial" w:hAnsi="Arial" w:cs="Arial"/>
          <w:sz w:val="18"/>
          <w:szCs w:val="18"/>
        </w:rPr>
        <w:lastRenderedPageBreak/>
        <w:t>Radiotherapy in Nasopharynx Cancer Patients.</w:t>
      </w:r>
      <w:proofErr w:type="gramEnd"/>
      <w:r w:rsidRPr="00EE640E">
        <w:rPr>
          <w:rFonts w:ascii="Arial" w:hAnsi="Arial" w:cs="Arial"/>
          <w:sz w:val="18"/>
          <w:szCs w:val="18"/>
        </w:rPr>
        <w:t xml:space="preserve"> </w:t>
      </w:r>
      <w:r w:rsidRPr="00EE640E">
        <w:rPr>
          <w:rFonts w:ascii="Arial" w:hAnsi="Arial" w:cs="Arial"/>
          <w:i/>
          <w:sz w:val="18"/>
          <w:szCs w:val="18"/>
        </w:rPr>
        <w:t>J of Nutrition and Cancer</w:t>
      </w:r>
      <w:r w:rsidRPr="00EE640E">
        <w:rPr>
          <w:rFonts w:ascii="Arial" w:hAnsi="Arial" w:cs="Arial"/>
          <w:sz w:val="18"/>
          <w:szCs w:val="18"/>
        </w:rPr>
        <w:t>, 2(1), pp. 156-161.</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Lo Y. M. D., Chan L. Y. S., Lo C. K. W., Leung S. F., Zhang J. &amp; Chan A. T. C., 1999. Quantitative Analysis of Cell-Free </w:t>
      </w:r>
      <w:proofErr w:type="gramStart"/>
      <w:r w:rsidRPr="00EE640E">
        <w:rPr>
          <w:rFonts w:ascii="Arial" w:hAnsi="Arial" w:cs="Arial"/>
          <w:sz w:val="18"/>
          <w:szCs w:val="18"/>
        </w:rPr>
        <w:t>Epstein-Barr Virus</w:t>
      </w:r>
      <w:proofErr w:type="gramEnd"/>
      <w:r w:rsidRPr="00EE640E">
        <w:rPr>
          <w:rFonts w:ascii="Arial" w:hAnsi="Arial" w:cs="Arial"/>
          <w:sz w:val="18"/>
          <w:szCs w:val="18"/>
        </w:rPr>
        <w:t xml:space="preserve"> DNA in Plasma Patients with Nasopharyngeal Carcinoma. Cancer Res, 59(1), pp. 1188-1191.</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Lutan R. &amp; Zachreini I., 1999. </w:t>
      </w:r>
      <w:proofErr w:type="gramStart"/>
      <w:r w:rsidRPr="00EE640E">
        <w:rPr>
          <w:rFonts w:ascii="Arial" w:hAnsi="Arial" w:cs="Arial"/>
          <w:sz w:val="18"/>
          <w:szCs w:val="18"/>
        </w:rPr>
        <w:t>Immunohistochemical Corelation between Nasopharyngeal Carcinoma and Epstein Barr Virus.</w:t>
      </w:r>
      <w:proofErr w:type="gramEnd"/>
      <w:r w:rsidRPr="00EE640E">
        <w:rPr>
          <w:rFonts w:ascii="Arial" w:hAnsi="Arial" w:cs="Arial"/>
          <w:sz w:val="18"/>
          <w:szCs w:val="18"/>
        </w:rPr>
        <w:t xml:space="preserve"> Asean Otorhinolaryngology-Head and Neck Surgery J, 3(3): pp. 257-259.</w:t>
      </w:r>
    </w:p>
    <w:p w:rsidR="000743F0" w:rsidRPr="00EE640E" w:rsidRDefault="000743F0"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Munir, D., Ramsi L., Mangain H., &amp; Fauziah H., 2007.</w:t>
      </w:r>
      <w:proofErr w:type="gramEnd"/>
      <w:r w:rsidRPr="00EE640E">
        <w:rPr>
          <w:rFonts w:ascii="Arial" w:hAnsi="Arial" w:cs="Arial"/>
          <w:sz w:val="18"/>
          <w:szCs w:val="18"/>
        </w:rPr>
        <w:t xml:space="preserve"> </w:t>
      </w:r>
      <w:proofErr w:type="gramStart"/>
      <w:r w:rsidRPr="00EE640E">
        <w:rPr>
          <w:rFonts w:ascii="Arial" w:hAnsi="Arial" w:cs="Arial"/>
          <w:sz w:val="18"/>
          <w:szCs w:val="18"/>
        </w:rPr>
        <w:t>Ekspresi Protein p53 Mutan pada Karsinoma Nasofaring.</w:t>
      </w:r>
      <w:proofErr w:type="gramEnd"/>
      <w:r w:rsidRPr="00EE640E">
        <w:rPr>
          <w:rFonts w:ascii="Arial" w:hAnsi="Arial" w:cs="Arial"/>
          <w:sz w:val="18"/>
          <w:szCs w:val="18"/>
        </w:rPr>
        <w:t xml:space="preserve"> MKN, 40(3), pp. 163-172.</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Mutirangura A., Pornthanakasem W., Theamboonlers A., Sriuranpong V., Lertsanguansinchi P. &amp; Yenrudi S., 1998. </w:t>
      </w:r>
      <w:proofErr w:type="gramStart"/>
      <w:r w:rsidRPr="00EE640E">
        <w:rPr>
          <w:rFonts w:ascii="Arial" w:hAnsi="Arial" w:cs="Arial"/>
          <w:sz w:val="18"/>
          <w:szCs w:val="18"/>
        </w:rPr>
        <w:t>Epstein-Barr Virus</w:t>
      </w:r>
      <w:proofErr w:type="gramEnd"/>
      <w:r w:rsidRPr="00EE640E">
        <w:rPr>
          <w:rFonts w:ascii="Arial" w:hAnsi="Arial" w:cs="Arial"/>
          <w:sz w:val="18"/>
          <w:szCs w:val="18"/>
        </w:rPr>
        <w:t xml:space="preserve"> DNA in Serum of Patients with Nasopharyngeal Carcinoma. Clin Cancer Res, 4(1), pp. 665-669.</w:t>
      </w:r>
    </w:p>
    <w:p w:rsidR="000743F0" w:rsidRPr="00EE640E" w:rsidRDefault="000743F0"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Neel, H. B., Pearson G. R. &amp; Taylor W. F., 1984.</w:t>
      </w:r>
      <w:proofErr w:type="gramEnd"/>
      <w:r w:rsidRPr="00EE640E">
        <w:rPr>
          <w:rFonts w:ascii="Arial" w:hAnsi="Arial" w:cs="Arial"/>
          <w:sz w:val="18"/>
          <w:szCs w:val="18"/>
        </w:rPr>
        <w:t xml:space="preserve"> Antibodies to </w:t>
      </w:r>
      <w:proofErr w:type="gramStart"/>
      <w:r w:rsidRPr="00EE640E">
        <w:rPr>
          <w:rFonts w:ascii="Arial" w:hAnsi="Arial" w:cs="Arial"/>
          <w:sz w:val="18"/>
          <w:szCs w:val="18"/>
        </w:rPr>
        <w:t>Epstein-Barr Virus</w:t>
      </w:r>
      <w:proofErr w:type="gramEnd"/>
      <w:r w:rsidRPr="00EE640E">
        <w:rPr>
          <w:rFonts w:ascii="Arial" w:hAnsi="Arial" w:cs="Arial"/>
          <w:sz w:val="18"/>
          <w:szCs w:val="18"/>
        </w:rPr>
        <w:t xml:space="preserve"> in Patient with Nasopharyngeal Carcinoma and Comparison Groups. </w:t>
      </w:r>
      <w:proofErr w:type="gramStart"/>
      <w:r w:rsidRPr="00EE640E">
        <w:rPr>
          <w:rFonts w:ascii="Arial" w:hAnsi="Arial" w:cs="Arial"/>
          <w:sz w:val="18"/>
          <w:szCs w:val="18"/>
        </w:rPr>
        <w:t>Ann Otol Rhinol Laryngol, 93(1), pp.447-482.</w:t>
      </w:r>
      <w:proofErr w:type="gramEnd"/>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Roezin, A., 1999. </w:t>
      </w:r>
      <w:proofErr w:type="gramStart"/>
      <w:r w:rsidRPr="00EE640E">
        <w:rPr>
          <w:rFonts w:ascii="Arial" w:hAnsi="Arial" w:cs="Arial"/>
          <w:sz w:val="18"/>
          <w:szCs w:val="18"/>
        </w:rPr>
        <w:t>Berbagai Faktor Penyebab dan Predisposisi Karsinoma Nasofaring.</w:t>
      </w:r>
      <w:proofErr w:type="gramEnd"/>
      <w:r w:rsidRPr="00EE640E">
        <w:rPr>
          <w:rFonts w:ascii="Arial" w:hAnsi="Arial" w:cs="Arial"/>
          <w:sz w:val="18"/>
          <w:szCs w:val="18"/>
        </w:rPr>
        <w:t xml:space="preserve"> Maj Kedokt Indon, 49(3), pp. 85-88.</w:t>
      </w:r>
    </w:p>
    <w:p w:rsidR="000743F0" w:rsidRPr="00EE640E" w:rsidRDefault="000743F0"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Sambrook, J. &amp; Russel D.W., 1989.</w:t>
      </w:r>
      <w:proofErr w:type="gramEnd"/>
      <w:r w:rsidRPr="00EE640E">
        <w:rPr>
          <w:rFonts w:ascii="Arial" w:hAnsi="Arial" w:cs="Arial"/>
          <w:sz w:val="18"/>
          <w:szCs w:val="18"/>
        </w:rPr>
        <w:t xml:space="preserve"> Molecular Cloning: A Laboratory Manual. New York: Cold-Spring Harbor Laboratory Press.</w:t>
      </w:r>
    </w:p>
    <w:p w:rsidR="000743F0" w:rsidRPr="00EE640E" w:rsidRDefault="000743F0"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Savitri, E &amp; Sofia M. H., 2012.</w:t>
      </w:r>
      <w:proofErr w:type="gramEnd"/>
      <w:r w:rsidRPr="00EE640E">
        <w:rPr>
          <w:rFonts w:ascii="Arial" w:hAnsi="Arial" w:cs="Arial"/>
          <w:sz w:val="18"/>
          <w:szCs w:val="18"/>
        </w:rPr>
        <w:t xml:space="preserve"> </w:t>
      </w:r>
      <w:proofErr w:type="gramStart"/>
      <w:r w:rsidRPr="00EE640E">
        <w:rPr>
          <w:rFonts w:ascii="Arial" w:hAnsi="Arial" w:cs="Arial"/>
          <w:sz w:val="18"/>
          <w:szCs w:val="18"/>
        </w:rPr>
        <w:t>Profil Viral Load Ebstein-Barr Virus dan Titer Antibodi Ig A (VCA-P18+ EBNA-1) pada Karsinoma Nasofaring di Makassar dan Yogyakarta.</w:t>
      </w:r>
      <w:proofErr w:type="gramEnd"/>
      <w:r w:rsidRPr="00EE640E">
        <w:rPr>
          <w:rFonts w:ascii="Arial" w:hAnsi="Arial" w:cs="Arial"/>
          <w:sz w:val="18"/>
          <w:szCs w:val="18"/>
        </w:rPr>
        <w:t xml:space="preserve"> J Indon Med Assoc, 62(5), pp. 174-177.</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Shotelersuk K., Khorprasert C., Sakdikul S., Pornthanakasem W., Voravud N. &amp; Mutirangura A., 2000. Epstein-Barr virus DNA in Serum/Plasma as a Tumor Marker for Nasopharyngeal Carcinoma. Clin Cancer Res, 6(1), pp. 1046-1051.</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Soepardi, E. A., Iskandar N., Bashiruddin J., Restuti R. D., 2007. Buku Ajar Ilmu </w:t>
      </w:r>
      <w:proofErr w:type="gramStart"/>
      <w:r w:rsidRPr="00EE640E">
        <w:rPr>
          <w:rFonts w:ascii="Arial" w:hAnsi="Arial" w:cs="Arial"/>
          <w:sz w:val="18"/>
          <w:szCs w:val="18"/>
        </w:rPr>
        <w:t>Kesehatan :</w:t>
      </w:r>
      <w:proofErr w:type="gramEnd"/>
      <w:r w:rsidRPr="00EE640E">
        <w:rPr>
          <w:rFonts w:ascii="Arial" w:hAnsi="Arial" w:cs="Arial"/>
          <w:sz w:val="18"/>
          <w:szCs w:val="18"/>
        </w:rPr>
        <w:t xml:space="preserve"> Telinga Hidung Tenggorok Kepala dan Leher. </w:t>
      </w:r>
      <w:proofErr w:type="gramStart"/>
      <w:r w:rsidRPr="00EE640E">
        <w:rPr>
          <w:rFonts w:ascii="Arial" w:hAnsi="Arial" w:cs="Arial"/>
          <w:sz w:val="18"/>
          <w:szCs w:val="18"/>
        </w:rPr>
        <w:t>Edisi ke 6.</w:t>
      </w:r>
      <w:proofErr w:type="gramEnd"/>
      <w:r w:rsidRPr="00EE640E">
        <w:rPr>
          <w:rFonts w:ascii="Arial" w:hAnsi="Arial" w:cs="Arial"/>
          <w:sz w:val="18"/>
          <w:szCs w:val="18"/>
        </w:rPr>
        <w:t xml:space="preserve"> Jakarta: Balai Penerbit FKUI.</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lastRenderedPageBreak/>
        <w:t xml:space="preserve">Steven, S. J. C., Verkuijlen S. A. W. M., Hariwiyanto B., Harijadi, Paramita D. K., Fachiroh J., Marlinda A., Tan I. B., Haryana S. M. &amp; Middeldorp J. M., 2006. Noninvasive Diganosis of Nasopharyngeal Carcinoma: Nasopharyngeal Brushing Reveal High </w:t>
      </w:r>
      <w:proofErr w:type="gramStart"/>
      <w:r w:rsidRPr="00EE640E">
        <w:rPr>
          <w:rFonts w:ascii="Arial" w:hAnsi="Arial" w:cs="Arial"/>
          <w:sz w:val="18"/>
          <w:szCs w:val="18"/>
        </w:rPr>
        <w:t>Epstein-Barr Virus</w:t>
      </w:r>
      <w:proofErr w:type="gramEnd"/>
      <w:r w:rsidRPr="00EE640E">
        <w:rPr>
          <w:rFonts w:ascii="Arial" w:hAnsi="Arial" w:cs="Arial"/>
          <w:sz w:val="18"/>
          <w:szCs w:val="18"/>
        </w:rPr>
        <w:t xml:space="preserve"> (EBV) DNA Load and Carcinoma-Specific Viral BARF1 mRNA. Int J Cancer, 119, pp. 608-614.</w:t>
      </w:r>
    </w:p>
    <w:p w:rsidR="000743F0" w:rsidRPr="00EE640E" w:rsidRDefault="000743F0"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Stevens, C. R. &amp; Rassekh C., 1998.</w:t>
      </w:r>
      <w:proofErr w:type="gramEnd"/>
      <w:r w:rsidRPr="00EE640E">
        <w:rPr>
          <w:rFonts w:ascii="Arial" w:hAnsi="Arial" w:cs="Arial"/>
          <w:sz w:val="18"/>
          <w:szCs w:val="18"/>
        </w:rPr>
        <w:t xml:space="preserve"> </w:t>
      </w:r>
      <w:proofErr w:type="gramStart"/>
      <w:r w:rsidRPr="00EE640E">
        <w:rPr>
          <w:rFonts w:ascii="Arial" w:hAnsi="Arial" w:cs="Arial"/>
          <w:sz w:val="18"/>
          <w:szCs w:val="18"/>
        </w:rPr>
        <w:t>Nasopharyngeal Carcinoma.</w:t>
      </w:r>
      <w:proofErr w:type="gramEnd"/>
      <w:r w:rsidRPr="00EE640E">
        <w:rPr>
          <w:rFonts w:ascii="Arial" w:hAnsi="Arial" w:cs="Arial"/>
          <w:sz w:val="18"/>
          <w:szCs w:val="18"/>
        </w:rPr>
        <w:t xml:space="preserve"> New York: Department of Otolaryngology.</w:t>
      </w:r>
    </w:p>
    <w:p w:rsidR="000743F0" w:rsidRPr="00EE640E" w:rsidRDefault="000743F0"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Surzycki, S., 2000.</w:t>
      </w:r>
      <w:proofErr w:type="gramEnd"/>
      <w:r w:rsidRPr="00EE640E">
        <w:rPr>
          <w:rFonts w:ascii="Arial" w:hAnsi="Arial" w:cs="Arial"/>
          <w:sz w:val="18"/>
          <w:szCs w:val="18"/>
        </w:rPr>
        <w:t xml:space="preserve"> </w:t>
      </w:r>
      <w:proofErr w:type="gramStart"/>
      <w:r w:rsidRPr="00EE640E">
        <w:rPr>
          <w:rFonts w:ascii="Arial" w:hAnsi="Arial" w:cs="Arial"/>
          <w:sz w:val="18"/>
          <w:szCs w:val="18"/>
        </w:rPr>
        <w:t>Basic Techniques in Molecular Biology.</w:t>
      </w:r>
      <w:proofErr w:type="gramEnd"/>
      <w:r w:rsidRPr="00EE640E">
        <w:rPr>
          <w:rFonts w:ascii="Arial" w:hAnsi="Arial" w:cs="Arial"/>
          <w:sz w:val="18"/>
          <w:szCs w:val="18"/>
        </w:rPr>
        <w:t xml:space="preserve"> Berlin: Springer-Verlag.</w:t>
      </w:r>
    </w:p>
    <w:p w:rsidR="000743F0" w:rsidRPr="00EE640E" w:rsidRDefault="000743F0"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Syafaruddin &amp; Tri J. S., 2011.</w:t>
      </w:r>
      <w:proofErr w:type="gramEnd"/>
      <w:r w:rsidRPr="00EE640E">
        <w:rPr>
          <w:rFonts w:ascii="Arial" w:hAnsi="Arial" w:cs="Arial"/>
          <w:sz w:val="18"/>
          <w:szCs w:val="18"/>
        </w:rPr>
        <w:t xml:space="preserve"> </w:t>
      </w:r>
      <w:proofErr w:type="gramStart"/>
      <w:r w:rsidRPr="00EE640E">
        <w:rPr>
          <w:rFonts w:ascii="Arial" w:hAnsi="Arial" w:cs="Arial"/>
          <w:sz w:val="18"/>
          <w:szCs w:val="18"/>
        </w:rPr>
        <w:t>Optimasi Teknik Isolasi dan Purifikasi DNA yang Efisien dan Efektif pada Kemiri Sunan (Reutalis trisperma (Blanco) Airy Shaw).</w:t>
      </w:r>
      <w:proofErr w:type="gramEnd"/>
      <w:r w:rsidRPr="00EE640E">
        <w:rPr>
          <w:rFonts w:ascii="Arial" w:hAnsi="Arial" w:cs="Arial"/>
          <w:sz w:val="18"/>
          <w:szCs w:val="18"/>
        </w:rPr>
        <w:t xml:space="preserve"> J Littri, 17(1), pp. 11-17.</w:t>
      </w:r>
    </w:p>
    <w:p w:rsidR="000743F0" w:rsidRPr="00EE640E" w:rsidRDefault="000743F0"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Tselis, A. C. &amp; Hal B. Jenson, 2006.</w:t>
      </w:r>
      <w:proofErr w:type="gramEnd"/>
      <w:r w:rsidRPr="00EE640E">
        <w:rPr>
          <w:rFonts w:ascii="Arial" w:hAnsi="Arial" w:cs="Arial"/>
          <w:sz w:val="18"/>
          <w:szCs w:val="18"/>
        </w:rPr>
        <w:t xml:space="preserve"> </w:t>
      </w:r>
      <w:proofErr w:type="gramStart"/>
      <w:r w:rsidRPr="00EE640E">
        <w:rPr>
          <w:rFonts w:ascii="Arial" w:hAnsi="Arial" w:cs="Arial"/>
          <w:sz w:val="18"/>
          <w:szCs w:val="18"/>
        </w:rPr>
        <w:t>Epstein-Barr Virus</w:t>
      </w:r>
      <w:proofErr w:type="gramEnd"/>
      <w:r w:rsidRPr="00EE640E">
        <w:rPr>
          <w:rFonts w:ascii="Arial" w:hAnsi="Arial" w:cs="Arial"/>
          <w:sz w:val="18"/>
          <w:szCs w:val="18"/>
        </w:rPr>
        <w:t>. New York: Taylor &amp; Francis.</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Wei, Y. S., Kuang X. H., Zhu Y. H., Liang W. B., Yang Z. H., Tai S. H., Zhao Y. &amp; Zhang L., 2007. </w:t>
      </w:r>
      <w:proofErr w:type="gramStart"/>
      <w:r w:rsidRPr="00EE640E">
        <w:rPr>
          <w:rFonts w:ascii="Arial" w:hAnsi="Arial" w:cs="Arial"/>
          <w:sz w:val="18"/>
          <w:szCs w:val="18"/>
        </w:rPr>
        <w:t>Interleukin-10 Gene Promoter Polymorpisms and the Risk of Nasopharyngeal Carcinoma.</w:t>
      </w:r>
      <w:proofErr w:type="gramEnd"/>
      <w:r w:rsidRPr="00EE640E">
        <w:rPr>
          <w:rFonts w:ascii="Arial" w:hAnsi="Arial" w:cs="Arial"/>
          <w:sz w:val="18"/>
          <w:szCs w:val="18"/>
        </w:rPr>
        <w:t xml:space="preserve"> Tissue Antigen, 70(2), pp. 12-17.</w:t>
      </w:r>
    </w:p>
    <w:p w:rsidR="000743F0" w:rsidRPr="00EE640E" w:rsidRDefault="000743F0" w:rsidP="00EE640E">
      <w:pPr>
        <w:spacing w:after="0" w:line="240" w:lineRule="auto"/>
        <w:ind w:left="426" w:hanging="426"/>
        <w:jc w:val="both"/>
        <w:rPr>
          <w:rFonts w:ascii="Arial" w:hAnsi="Arial" w:cs="Arial"/>
          <w:sz w:val="18"/>
          <w:szCs w:val="18"/>
        </w:rPr>
      </w:pPr>
      <w:proofErr w:type="gramStart"/>
      <w:r w:rsidRPr="00EE640E">
        <w:rPr>
          <w:rFonts w:ascii="Arial" w:hAnsi="Arial" w:cs="Arial"/>
          <w:sz w:val="18"/>
          <w:szCs w:val="18"/>
        </w:rPr>
        <w:t>Welsh, K. I. and Bunce, M., 1999.</w:t>
      </w:r>
      <w:proofErr w:type="gramEnd"/>
      <w:r w:rsidRPr="00EE640E">
        <w:rPr>
          <w:rFonts w:ascii="Arial" w:hAnsi="Arial" w:cs="Arial"/>
          <w:sz w:val="18"/>
          <w:szCs w:val="18"/>
        </w:rPr>
        <w:t xml:space="preserve"> Molecular TTyping for the MHC with PCR-SSP. Immunogenetics, 1(1), pp. 156–176</w:t>
      </w:r>
    </w:p>
    <w:p w:rsidR="000743F0"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Wong, Thian-Sze, Dora Lai-Wan Kwong, Jonathan Shun-Tong Sham, William Ignace Wei, Yok-Lam Kwong, &amp; Anthony Po-Wing Yuen, 2004. </w:t>
      </w:r>
      <w:proofErr w:type="gramStart"/>
      <w:r w:rsidRPr="00EE640E">
        <w:rPr>
          <w:rFonts w:ascii="Arial" w:hAnsi="Arial" w:cs="Arial"/>
          <w:sz w:val="18"/>
          <w:szCs w:val="18"/>
        </w:rPr>
        <w:t>Quantitative Plasma Hypermethylated DNA Markers of Undifferentiated Nasopharyngeal Carcinoma.</w:t>
      </w:r>
      <w:proofErr w:type="gramEnd"/>
      <w:r w:rsidRPr="00EE640E">
        <w:rPr>
          <w:rFonts w:ascii="Arial" w:hAnsi="Arial" w:cs="Arial"/>
          <w:sz w:val="18"/>
          <w:szCs w:val="18"/>
        </w:rPr>
        <w:t xml:space="preserve"> Clinical Cancer Res, 10(1), pp. 2401-2406.</w:t>
      </w:r>
    </w:p>
    <w:p w:rsidR="00B8572A" w:rsidRPr="00EE640E" w:rsidRDefault="000743F0" w:rsidP="00EE640E">
      <w:pPr>
        <w:spacing w:after="0" w:line="240" w:lineRule="auto"/>
        <w:ind w:left="426" w:hanging="426"/>
        <w:jc w:val="both"/>
        <w:rPr>
          <w:rFonts w:ascii="Arial" w:hAnsi="Arial" w:cs="Arial"/>
          <w:sz w:val="18"/>
          <w:szCs w:val="18"/>
        </w:rPr>
      </w:pPr>
      <w:r w:rsidRPr="00EE640E">
        <w:rPr>
          <w:rFonts w:ascii="Arial" w:hAnsi="Arial" w:cs="Arial"/>
          <w:sz w:val="18"/>
          <w:szCs w:val="18"/>
        </w:rPr>
        <w:t xml:space="preserve">Yurnadi, Y., Suryandari, D. A., Soeharso, P., Moeloek, N., &amp; Susworo, R., 2011. </w:t>
      </w:r>
      <w:proofErr w:type="gramStart"/>
      <w:r w:rsidRPr="00EE640E">
        <w:rPr>
          <w:rFonts w:ascii="Arial" w:hAnsi="Arial" w:cs="Arial"/>
          <w:sz w:val="18"/>
          <w:szCs w:val="18"/>
        </w:rPr>
        <w:t>Distribution Pattern of Polymeric Immunoglobulin Receptor (PIGR) Gene Allotype in Nasopharyngeal Carcinoma (NPC) Patients in Indonesia.</w:t>
      </w:r>
      <w:proofErr w:type="gramEnd"/>
      <w:r w:rsidRPr="00EE640E">
        <w:rPr>
          <w:rFonts w:ascii="Arial" w:hAnsi="Arial" w:cs="Arial"/>
          <w:sz w:val="18"/>
          <w:szCs w:val="18"/>
        </w:rPr>
        <w:t xml:space="preserve"> J of the Indonesia Med As</w:t>
      </w:r>
      <w:r w:rsidRPr="00EE640E">
        <w:rPr>
          <w:rFonts w:ascii="Arial" w:hAnsi="Arial" w:cs="Arial"/>
          <w:i/>
          <w:sz w:val="18"/>
          <w:szCs w:val="18"/>
        </w:rPr>
        <w:t>soc</w:t>
      </w:r>
      <w:r w:rsidRPr="00EE640E">
        <w:rPr>
          <w:rFonts w:ascii="Arial" w:hAnsi="Arial" w:cs="Arial"/>
          <w:sz w:val="18"/>
          <w:szCs w:val="18"/>
        </w:rPr>
        <w:t>, 60(11), pp. 489-495.</w:t>
      </w:r>
    </w:p>
    <w:p w:rsidR="00B8572A" w:rsidRDefault="00B8572A" w:rsidP="000743F0">
      <w:pPr>
        <w:spacing w:after="0" w:line="240" w:lineRule="auto"/>
        <w:ind w:left="567" w:hanging="567"/>
        <w:jc w:val="both"/>
        <w:rPr>
          <w:rFonts w:ascii="Times New Roman" w:hAnsi="Times New Roman" w:cs="Times New Roman"/>
        </w:rPr>
      </w:pPr>
    </w:p>
    <w:p w:rsidR="00B8572A" w:rsidRDefault="00B8572A" w:rsidP="00B8572A">
      <w:pPr>
        <w:spacing w:after="0" w:line="240" w:lineRule="auto"/>
        <w:ind w:firstLine="567"/>
        <w:jc w:val="both"/>
        <w:rPr>
          <w:rFonts w:ascii="Times New Roman" w:hAnsi="Times New Roman" w:cs="Times New Roman"/>
        </w:rPr>
      </w:pPr>
    </w:p>
    <w:p w:rsidR="00B8572A" w:rsidRDefault="00B8572A" w:rsidP="00A97E46">
      <w:pPr>
        <w:spacing w:after="0" w:line="240" w:lineRule="auto"/>
        <w:rPr>
          <w:rFonts w:ascii="Times New Roman" w:hAnsi="Times New Roman" w:cs="Times New Roman"/>
          <w:b/>
        </w:rPr>
      </w:pPr>
    </w:p>
    <w:p w:rsidR="00B8572A" w:rsidRDefault="00B8572A" w:rsidP="00A97E46">
      <w:pPr>
        <w:spacing w:after="0" w:line="240" w:lineRule="auto"/>
        <w:rPr>
          <w:rFonts w:ascii="Times New Roman" w:hAnsi="Times New Roman" w:cs="Times New Roman"/>
          <w:b/>
        </w:rPr>
      </w:pPr>
    </w:p>
    <w:p w:rsidR="00A97E46" w:rsidRPr="0004404F" w:rsidRDefault="00A97E46" w:rsidP="00A97E46">
      <w:pPr>
        <w:spacing w:after="0" w:line="240" w:lineRule="auto"/>
        <w:rPr>
          <w:rFonts w:ascii="Times New Roman" w:hAnsi="Times New Roman" w:cs="Times New Roman"/>
          <w:b/>
        </w:rPr>
      </w:pPr>
    </w:p>
    <w:p w:rsidR="00A97E46" w:rsidRPr="0004404F" w:rsidRDefault="00A97E46" w:rsidP="00A97E46">
      <w:pPr>
        <w:spacing w:after="0" w:line="240" w:lineRule="auto"/>
        <w:rPr>
          <w:rFonts w:ascii="Times New Roman" w:hAnsi="Times New Roman" w:cs="Times New Roman"/>
        </w:rPr>
      </w:pPr>
    </w:p>
    <w:p w:rsidR="00B8572A" w:rsidRPr="00B8572A" w:rsidRDefault="00B8572A" w:rsidP="00B8572A">
      <w:pPr>
        <w:spacing w:after="0" w:line="240" w:lineRule="auto"/>
        <w:rPr>
          <w:rFonts w:ascii="Times New Roman" w:hAnsi="Times New Roman" w:cs="Times New Roman"/>
        </w:rPr>
        <w:sectPr w:rsidR="00B8572A" w:rsidRPr="00B8572A" w:rsidSect="00B8572A">
          <w:type w:val="continuous"/>
          <w:pgSz w:w="12240" w:h="15840"/>
          <w:pgMar w:top="1418" w:right="1418" w:bottom="1418" w:left="2268" w:header="720" w:footer="720" w:gutter="0"/>
          <w:cols w:num="2" w:space="720"/>
          <w:docGrid w:linePitch="360"/>
        </w:sectPr>
      </w:pPr>
    </w:p>
    <w:p w:rsidR="00B8572A" w:rsidRPr="00B8572A" w:rsidRDefault="00B8572A" w:rsidP="00B8572A">
      <w:pPr>
        <w:spacing w:after="0" w:line="240" w:lineRule="auto"/>
        <w:ind w:left="709" w:hanging="709"/>
        <w:jc w:val="both"/>
        <w:rPr>
          <w:rFonts w:ascii="Times New Roman" w:hAnsi="Times New Roman" w:cs="Times New Roman"/>
        </w:rPr>
      </w:pPr>
    </w:p>
    <w:p w:rsidR="00B8572A" w:rsidRPr="00B8572A" w:rsidRDefault="00B8572A" w:rsidP="00B8572A">
      <w:pPr>
        <w:spacing w:after="0" w:line="240" w:lineRule="auto"/>
        <w:ind w:left="709" w:hanging="709"/>
        <w:jc w:val="both"/>
        <w:rPr>
          <w:rFonts w:ascii="Times New Roman" w:hAnsi="Times New Roman" w:cs="Times New Roman"/>
        </w:rPr>
      </w:pPr>
    </w:p>
    <w:p w:rsidR="00B8572A" w:rsidRDefault="00B8572A" w:rsidP="00115F54">
      <w:pPr>
        <w:spacing w:after="0" w:line="240" w:lineRule="auto"/>
        <w:rPr>
          <w:rFonts w:ascii="Times New Roman" w:hAnsi="Times New Roman" w:cs="Times New Roman"/>
        </w:rPr>
        <w:sectPr w:rsidR="00B8572A" w:rsidSect="00B8572A">
          <w:type w:val="continuous"/>
          <w:pgSz w:w="12240" w:h="15840"/>
          <w:pgMar w:top="1418" w:right="1418" w:bottom="1418" w:left="2268" w:header="720" w:footer="720" w:gutter="0"/>
          <w:cols w:num="2" w:space="720"/>
          <w:docGrid w:linePitch="360"/>
        </w:sectPr>
      </w:pPr>
    </w:p>
    <w:p w:rsidR="00B8572A" w:rsidRDefault="00B8572A" w:rsidP="00115F54">
      <w:pPr>
        <w:spacing w:after="0" w:line="240" w:lineRule="auto"/>
        <w:rPr>
          <w:rFonts w:ascii="Times New Roman" w:hAnsi="Times New Roman" w:cs="Times New Roman"/>
        </w:rPr>
        <w:sectPr w:rsidR="00B8572A" w:rsidSect="00F03AE9">
          <w:type w:val="continuous"/>
          <w:pgSz w:w="12240" w:h="15840"/>
          <w:pgMar w:top="1418" w:right="1418" w:bottom="1418" w:left="2268" w:header="720" w:footer="720" w:gutter="0"/>
          <w:cols w:space="720"/>
          <w:docGrid w:linePitch="360"/>
        </w:sectPr>
      </w:pPr>
    </w:p>
    <w:p w:rsidR="00A25580" w:rsidRPr="0004404F" w:rsidRDefault="00A25580" w:rsidP="00115F54">
      <w:pPr>
        <w:spacing w:after="0" w:line="240" w:lineRule="auto"/>
        <w:rPr>
          <w:rFonts w:ascii="Times New Roman" w:hAnsi="Times New Roman" w:cs="Times New Roman"/>
        </w:rPr>
      </w:pPr>
    </w:p>
    <w:sectPr w:rsidR="00A25580" w:rsidRPr="0004404F" w:rsidSect="00F03AE9">
      <w:type w:val="continuous"/>
      <w:pgSz w:w="12240" w:h="15840"/>
      <w:pgMar w:top="1418" w:right="1418" w:bottom="141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1D" w:rsidRDefault="0098381D" w:rsidP="00F03AE9">
      <w:pPr>
        <w:spacing w:after="0" w:line="240" w:lineRule="auto"/>
      </w:pPr>
      <w:r>
        <w:separator/>
      </w:r>
    </w:p>
  </w:endnote>
  <w:endnote w:type="continuationSeparator" w:id="0">
    <w:p w:rsidR="0098381D" w:rsidRDefault="0098381D" w:rsidP="00F0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04182"/>
      <w:docPartObj>
        <w:docPartGallery w:val="Page Numbers (Bottom of Page)"/>
        <w:docPartUnique/>
      </w:docPartObj>
    </w:sdtPr>
    <w:sdtEndPr>
      <w:rPr>
        <w:rFonts w:ascii="Times New Roman" w:hAnsi="Times New Roman" w:cs="Times New Roman"/>
        <w:noProof/>
      </w:rPr>
    </w:sdtEndPr>
    <w:sdtContent>
      <w:p w:rsidR="00A57ADA" w:rsidRPr="00F03AE9" w:rsidRDefault="00A57ADA">
        <w:pPr>
          <w:pStyle w:val="Footer"/>
          <w:jc w:val="center"/>
          <w:rPr>
            <w:rFonts w:ascii="Times New Roman" w:hAnsi="Times New Roman" w:cs="Times New Roman"/>
          </w:rPr>
        </w:pPr>
        <w:r w:rsidRPr="00F03AE9">
          <w:rPr>
            <w:rFonts w:ascii="Times New Roman" w:hAnsi="Times New Roman" w:cs="Times New Roman"/>
          </w:rPr>
          <w:fldChar w:fldCharType="begin"/>
        </w:r>
        <w:r w:rsidRPr="00F03AE9">
          <w:rPr>
            <w:rFonts w:ascii="Times New Roman" w:hAnsi="Times New Roman" w:cs="Times New Roman"/>
          </w:rPr>
          <w:instrText xml:space="preserve"> PAGE   \* MERGEFORMAT </w:instrText>
        </w:r>
        <w:r w:rsidRPr="00F03AE9">
          <w:rPr>
            <w:rFonts w:ascii="Times New Roman" w:hAnsi="Times New Roman" w:cs="Times New Roman"/>
          </w:rPr>
          <w:fldChar w:fldCharType="separate"/>
        </w:r>
        <w:r w:rsidR="005D3254">
          <w:rPr>
            <w:rFonts w:ascii="Times New Roman" w:hAnsi="Times New Roman" w:cs="Times New Roman"/>
            <w:noProof/>
          </w:rPr>
          <w:t>1</w:t>
        </w:r>
        <w:r w:rsidRPr="00F03AE9">
          <w:rPr>
            <w:rFonts w:ascii="Times New Roman" w:hAnsi="Times New Roman" w:cs="Times New Roman"/>
            <w:noProof/>
          </w:rPr>
          <w:fldChar w:fldCharType="end"/>
        </w:r>
      </w:p>
    </w:sdtContent>
  </w:sdt>
  <w:p w:rsidR="00A57ADA" w:rsidRDefault="00A57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1D" w:rsidRDefault="0098381D" w:rsidP="00F03AE9">
      <w:pPr>
        <w:spacing w:after="0" w:line="240" w:lineRule="auto"/>
      </w:pPr>
      <w:r>
        <w:separator/>
      </w:r>
    </w:p>
  </w:footnote>
  <w:footnote w:type="continuationSeparator" w:id="0">
    <w:p w:rsidR="0098381D" w:rsidRDefault="0098381D" w:rsidP="00F03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02" w:rsidRPr="005C27A8" w:rsidRDefault="00530F02" w:rsidP="00530F02">
    <w:pPr>
      <w:pStyle w:val="Header"/>
      <w:tabs>
        <w:tab w:val="clear" w:pos="4680"/>
        <w:tab w:val="center" w:pos="8364"/>
        <w:tab w:val="center" w:pos="8931"/>
        <w:tab w:val="right" w:pos="9866"/>
      </w:tabs>
      <w:rPr>
        <w:rFonts w:ascii="Arial" w:hAnsi="Arial" w:cs="Arial"/>
        <w:sz w:val="18"/>
        <w:szCs w:val="18"/>
        <w:lang w:val="id-ID"/>
      </w:rPr>
    </w:pPr>
    <w:r w:rsidRPr="005C27A8">
      <w:rPr>
        <w:rFonts w:ascii="Arial" w:hAnsi="Arial" w:cs="Arial"/>
        <w:b/>
        <w:sz w:val="18"/>
        <w:szCs w:val="18"/>
        <w:lang w:val="id-ID"/>
      </w:rPr>
      <w:t>B</w:t>
    </w:r>
    <w:r w:rsidRPr="005C27A8">
      <w:rPr>
        <w:rFonts w:ascii="Arial" w:hAnsi="Arial" w:cs="Arial"/>
        <w:b/>
        <w:sz w:val="18"/>
        <w:szCs w:val="18"/>
      </w:rPr>
      <w:t xml:space="preserve"> </w:t>
    </w:r>
    <w:r w:rsidRPr="005C27A8">
      <w:rPr>
        <w:rFonts w:ascii="Arial" w:hAnsi="Arial" w:cs="Arial"/>
        <w:b/>
        <w:sz w:val="18"/>
        <w:szCs w:val="18"/>
        <w:lang w:val="id-ID"/>
      </w:rPr>
      <w:t>I O S F E R A</w:t>
    </w:r>
    <w:r w:rsidRPr="005C27A8">
      <w:rPr>
        <w:rFonts w:ascii="Arial" w:hAnsi="Arial" w:cs="Arial"/>
        <w:b/>
        <w:sz w:val="18"/>
        <w:szCs w:val="18"/>
      </w:rPr>
      <w:tab/>
    </w:r>
    <w:r w:rsidRPr="005C27A8">
      <w:rPr>
        <w:rFonts w:ascii="Arial" w:hAnsi="Arial" w:cs="Arial"/>
        <w:sz w:val="18"/>
        <w:szCs w:val="18"/>
      </w:rPr>
      <w:t>ISSN</w:t>
    </w:r>
    <w:r w:rsidRPr="005C27A8">
      <w:rPr>
        <w:rFonts w:ascii="Arial" w:hAnsi="Arial" w:cs="Arial"/>
        <w:sz w:val="18"/>
        <w:szCs w:val="18"/>
        <w:lang w:val="id-ID"/>
      </w:rPr>
      <w:t xml:space="preserve"> </w:t>
    </w:r>
    <w:r w:rsidRPr="005C27A8">
      <w:rPr>
        <w:rFonts w:ascii="Arial" w:hAnsi="Arial" w:cs="Arial"/>
        <w:sz w:val="18"/>
        <w:szCs w:val="18"/>
      </w:rPr>
      <w:t xml:space="preserve">: </w:t>
    </w:r>
    <w:r w:rsidRPr="005C27A8">
      <w:rPr>
        <w:rFonts w:ascii="Arial" w:hAnsi="Arial" w:cs="Arial"/>
        <w:sz w:val="18"/>
        <w:szCs w:val="18"/>
        <w:lang w:val="id-ID"/>
      </w:rPr>
      <w:t>0853</w:t>
    </w:r>
    <w:r w:rsidRPr="005C27A8">
      <w:rPr>
        <w:rFonts w:ascii="Arial" w:hAnsi="Arial" w:cs="Arial"/>
        <w:sz w:val="18"/>
        <w:szCs w:val="18"/>
      </w:rPr>
      <w:t>-</w:t>
    </w:r>
    <w:r w:rsidRPr="005C27A8">
      <w:rPr>
        <w:rFonts w:ascii="Arial" w:hAnsi="Arial" w:cs="Arial"/>
        <w:sz w:val="18"/>
        <w:szCs w:val="18"/>
        <w:lang w:val="id-ID"/>
      </w:rPr>
      <w:t>1625</w:t>
    </w:r>
  </w:p>
  <w:p w:rsidR="00530F02" w:rsidRPr="005C27A8" w:rsidRDefault="00530F02" w:rsidP="00530F02">
    <w:pPr>
      <w:pStyle w:val="Header"/>
      <w:tabs>
        <w:tab w:val="clear" w:pos="4680"/>
        <w:tab w:val="center" w:pos="8364"/>
        <w:tab w:val="center" w:pos="8931"/>
        <w:tab w:val="right" w:pos="9866"/>
      </w:tabs>
      <w:rPr>
        <w:rFonts w:ascii="Arial" w:hAnsi="Arial" w:cs="Arial"/>
        <w:sz w:val="18"/>
        <w:szCs w:val="18"/>
      </w:rPr>
    </w:pPr>
    <w:r w:rsidRPr="005C27A8">
      <w:rPr>
        <w:rFonts w:ascii="Arial" w:hAnsi="Arial" w:cs="Arial"/>
        <w:b/>
        <w:sz w:val="18"/>
        <w:szCs w:val="18"/>
        <w:lang w:val="id-ID"/>
      </w:rPr>
      <w:t xml:space="preserve">Vol.  xx, No. Xx (2016) </w:t>
    </w:r>
    <w:r w:rsidRPr="005C27A8">
      <w:rPr>
        <w:rFonts w:ascii="Arial" w:hAnsi="Arial" w:cs="Arial"/>
        <w:b/>
        <w:sz w:val="18"/>
        <w:szCs w:val="18"/>
      </w:rPr>
      <w:tab/>
    </w:r>
    <w:r w:rsidRPr="005C27A8">
      <w:rPr>
        <w:rFonts w:ascii="Arial" w:hAnsi="Arial" w:cs="Arial"/>
        <w:sz w:val="18"/>
        <w:szCs w:val="18"/>
        <w:lang w:val="id-ID"/>
      </w:rPr>
      <w:t>E-ISSN : 2528-2050</w:t>
    </w:r>
  </w:p>
  <w:p w:rsidR="00530F02" w:rsidRPr="005C27A8" w:rsidRDefault="00530F02" w:rsidP="00530F02">
    <w:pPr>
      <w:pStyle w:val="Header"/>
      <w:tabs>
        <w:tab w:val="clear" w:pos="4680"/>
        <w:tab w:val="center" w:pos="8364"/>
        <w:tab w:val="center" w:pos="8931"/>
        <w:tab w:val="right" w:pos="9866"/>
      </w:tabs>
      <w:rPr>
        <w:rFonts w:ascii="Arial" w:hAnsi="Arial" w:cs="Arial"/>
        <w:sz w:val="18"/>
        <w:szCs w:val="18"/>
        <w:lang w:val="id-ID"/>
      </w:rPr>
    </w:pPr>
    <w:proofErr w:type="gramStart"/>
    <w:r w:rsidRPr="005C27A8">
      <w:rPr>
        <w:rFonts w:ascii="Arial" w:hAnsi="Arial" w:cs="Arial"/>
        <w:sz w:val="18"/>
        <w:szCs w:val="18"/>
      </w:rPr>
      <w:t>Hal :</w:t>
    </w:r>
    <w:proofErr w:type="gramEnd"/>
    <w:r w:rsidRPr="005C27A8">
      <w:rPr>
        <w:rFonts w:ascii="Arial" w:hAnsi="Arial" w:cs="Arial"/>
        <w:sz w:val="18"/>
        <w:szCs w:val="18"/>
      </w:rPr>
      <w:t xml:space="preserve"> </w:t>
    </w:r>
    <w:r w:rsidRPr="005C27A8">
      <w:rPr>
        <w:rFonts w:ascii="Arial" w:hAnsi="Arial" w:cs="Arial"/>
        <w:sz w:val="18"/>
        <w:szCs w:val="18"/>
        <w:lang w:val="id-ID"/>
      </w:rPr>
      <w:t>xxx – xxx</w:t>
    </w:r>
    <w:r w:rsidRPr="005C27A8">
      <w:rPr>
        <w:rFonts w:ascii="Arial" w:hAnsi="Arial" w:cs="Arial"/>
        <w:sz w:val="18"/>
        <w:szCs w:val="18"/>
        <w:lang w:val="id-ID"/>
      </w:rPr>
      <w:tab/>
      <w:t>DOI : xx.xxxxx/x.mib.20xx.xx.x.xx</w:t>
    </w:r>
  </w:p>
  <w:p w:rsidR="00530F02" w:rsidRDefault="00530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20C8"/>
    <w:multiLevelType w:val="hybridMultilevel"/>
    <w:tmpl w:val="E720751E"/>
    <w:lvl w:ilvl="0" w:tplc="D85A9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6D32C4"/>
    <w:multiLevelType w:val="multilevel"/>
    <w:tmpl w:val="0D7C8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6F4D33"/>
    <w:multiLevelType w:val="hybridMultilevel"/>
    <w:tmpl w:val="9050F3A0"/>
    <w:lvl w:ilvl="0" w:tplc="EBF00B9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1AF62B2"/>
    <w:multiLevelType w:val="hybridMultilevel"/>
    <w:tmpl w:val="C2EEAF96"/>
    <w:lvl w:ilvl="0" w:tplc="CC9890D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60EA2CD7"/>
    <w:multiLevelType w:val="hybridMultilevel"/>
    <w:tmpl w:val="2764A6D4"/>
    <w:lvl w:ilvl="0" w:tplc="0D7487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BD10796"/>
    <w:multiLevelType w:val="hybridMultilevel"/>
    <w:tmpl w:val="586C97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9A5DED"/>
    <w:multiLevelType w:val="hybridMultilevel"/>
    <w:tmpl w:val="2DF686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BC"/>
    <w:rsid w:val="000269D0"/>
    <w:rsid w:val="00041F7F"/>
    <w:rsid w:val="0004404F"/>
    <w:rsid w:val="000743F0"/>
    <w:rsid w:val="000A0C1C"/>
    <w:rsid w:val="000A5DA5"/>
    <w:rsid w:val="000D5E0B"/>
    <w:rsid w:val="00115F54"/>
    <w:rsid w:val="001525E7"/>
    <w:rsid w:val="00175828"/>
    <w:rsid w:val="001C2A28"/>
    <w:rsid w:val="00204C8B"/>
    <w:rsid w:val="002257BC"/>
    <w:rsid w:val="00227527"/>
    <w:rsid w:val="00341D70"/>
    <w:rsid w:val="00351D66"/>
    <w:rsid w:val="003547B3"/>
    <w:rsid w:val="0038654E"/>
    <w:rsid w:val="003D0742"/>
    <w:rsid w:val="003D79F2"/>
    <w:rsid w:val="004054BF"/>
    <w:rsid w:val="00424A41"/>
    <w:rsid w:val="004D068F"/>
    <w:rsid w:val="00530F02"/>
    <w:rsid w:val="00551A4F"/>
    <w:rsid w:val="0057138D"/>
    <w:rsid w:val="005855EB"/>
    <w:rsid w:val="005A3917"/>
    <w:rsid w:val="005D3254"/>
    <w:rsid w:val="006013C5"/>
    <w:rsid w:val="00673B30"/>
    <w:rsid w:val="006B6203"/>
    <w:rsid w:val="006F4EA9"/>
    <w:rsid w:val="00732FC5"/>
    <w:rsid w:val="00743B92"/>
    <w:rsid w:val="00765B5E"/>
    <w:rsid w:val="007D6FA5"/>
    <w:rsid w:val="007E59B1"/>
    <w:rsid w:val="008264B2"/>
    <w:rsid w:val="00852897"/>
    <w:rsid w:val="00871445"/>
    <w:rsid w:val="00895B7E"/>
    <w:rsid w:val="008E270C"/>
    <w:rsid w:val="0098381D"/>
    <w:rsid w:val="009F7006"/>
    <w:rsid w:val="00A06A59"/>
    <w:rsid w:val="00A214EC"/>
    <w:rsid w:val="00A25580"/>
    <w:rsid w:val="00A33A86"/>
    <w:rsid w:val="00A57ADA"/>
    <w:rsid w:val="00A75755"/>
    <w:rsid w:val="00A97E46"/>
    <w:rsid w:val="00AA6923"/>
    <w:rsid w:val="00B3166D"/>
    <w:rsid w:val="00B636AD"/>
    <w:rsid w:val="00B8572A"/>
    <w:rsid w:val="00B94EF7"/>
    <w:rsid w:val="00B96DA7"/>
    <w:rsid w:val="00BB1E8A"/>
    <w:rsid w:val="00BC554A"/>
    <w:rsid w:val="00C66A8E"/>
    <w:rsid w:val="00C876A6"/>
    <w:rsid w:val="00CA3BB4"/>
    <w:rsid w:val="00CA5074"/>
    <w:rsid w:val="00CD7239"/>
    <w:rsid w:val="00D1090E"/>
    <w:rsid w:val="00D531F1"/>
    <w:rsid w:val="00D63640"/>
    <w:rsid w:val="00E25E13"/>
    <w:rsid w:val="00E25EB5"/>
    <w:rsid w:val="00EA245B"/>
    <w:rsid w:val="00EB4CA3"/>
    <w:rsid w:val="00ED1BD1"/>
    <w:rsid w:val="00EE640E"/>
    <w:rsid w:val="00EF597D"/>
    <w:rsid w:val="00F03AE9"/>
    <w:rsid w:val="00F609B8"/>
    <w:rsid w:val="00F9600C"/>
    <w:rsid w:val="00FD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7BC"/>
    <w:rPr>
      <w:color w:val="0000FF" w:themeColor="hyperlink"/>
      <w:u w:val="single"/>
    </w:rPr>
  </w:style>
  <w:style w:type="paragraph" w:styleId="ListParagraph">
    <w:name w:val="List Paragraph"/>
    <w:basedOn w:val="Normal"/>
    <w:uiPriority w:val="34"/>
    <w:qFormat/>
    <w:rsid w:val="002257BC"/>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1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54"/>
    <w:rPr>
      <w:rFonts w:ascii="Tahoma" w:hAnsi="Tahoma" w:cs="Tahoma"/>
      <w:sz w:val="16"/>
      <w:szCs w:val="16"/>
    </w:rPr>
  </w:style>
  <w:style w:type="paragraph" w:styleId="Header">
    <w:name w:val="header"/>
    <w:basedOn w:val="Normal"/>
    <w:link w:val="HeaderChar"/>
    <w:uiPriority w:val="99"/>
    <w:unhideWhenUsed/>
    <w:rsid w:val="00F0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AE9"/>
  </w:style>
  <w:style w:type="paragraph" w:styleId="Footer">
    <w:name w:val="footer"/>
    <w:basedOn w:val="Normal"/>
    <w:link w:val="FooterChar"/>
    <w:uiPriority w:val="99"/>
    <w:unhideWhenUsed/>
    <w:rsid w:val="00F0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7BC"/>
    <w:rPr>
      <w:color w:val="0000FF" w:themeColor="hyperlink"/>
      <w:u w:val="single"/>
    </w:rPr>
  </w:style>
  <w:style w:type="paragraph" w:styleId="ListParagraph">
    <w:name w:val="List Paragraph"/>
    <w:basedOn w:val="Normal"/>
    <w:uiPriority w:val="34"/>
    <w:qFormat/>
    <w:rsid w:val="002257BC"/>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1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54"/>
    <w:rPr>
      <w:rFonts w:ascii="Tahoma" w:hAnsi="Tahoma" w:cs="Tahoma"/>
      <w:sz w:val="16"/>
      <w:szCs w:val="16"/>
    </w:rPr>
  </w:style>
  <w:style w:type="paragraph" w:styleId="Header">
    <w:name w:val="header"/>
    <w:basedOn w:val="Normal"/>
    <w:link w:val="HeaderChar"/>
    <w:uiPriority w:val="99"/>
    <w:unhideWhenUsed/>
    <w:rsid w:val="00F0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AE9"/>
  </w:style>
  <w:style w:type="paragraph" w:styleId="Footer">
    <w:name w:val="footer"/>
    <w:basedOn w:val="Normal"/>
    <w:link w:val="FooterChar"/>
    <w:uiPriority w:val="99"/>
    <w:unhideWhenUsed/>
    <w:rsid w:val="00F0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ri.yulia.ningsih34@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Positif</c:v>
                </c:pt>
              </c:strCache>
            </c:strRef>
          </c:tx>
          <c:spPr>
            <a:solidFill>
              <a:schemeClr val="accent5">
                <a:lumMod val="60000"/>
                <a:lumOff val="40000"/>
              </a:schemeClr>
            </a:solidFill>
          </c:spPr>
          <c:invertIfNegative val="0"/>
          <c:cat>
            <c:strRef>
              <c:f>Sheet1!$A$2</c:f>
              <c:strCache>
                <c:ptCount val="1"/>
                <c:pt idx="0">
                  <c:v>Sampel DNA</c:v>
                </c:pt>
              </c:strCache>
            </c:strRef>
          </c:cat>
          <c:val>
            <c:numRef>
              <c:f>Sheet1!$B$2</c:f>
              <c:numCache>
                <c:formatCode>General</c:formatCode>
                <c:ptCount val="1"/>
                <c:pt idx="0">
                  <c:v>16</c:v>
                </c:pt>
              </c:numCache>
            </c:numRef>
          </c:val>
        </c:ser>
        <c:ser>
          <c:idx val="1"/>
          <c:order val="1"/>
          <c:tx>
            <c:strRef>
              <c:f>Sheet1!$C$1</c:f>
              <c:strCache>
                <c:ptCount val="1"/>
                <c:pt idx="0">
                  <c:v>Negatif</c:v>
                </c:pt>
              </c:strCache>
            </c:strRef>
          </c:tx>
          <c:spPr>
            <a:solidFill>
              <a:srgbClr val="FF0066"/>
            </a:solidFill>
          </c:spPr>
          <c:invertIfNegative val="0"/>
          <c:dPt>
            <c:idx val="0"/>
            <c:invertIfNegative val="0"/>
            <c:bubble3D val="0"/>
            <c:spPr>
              <a:solidFill>
                <a:srgbClr val="FF3399"/>
              </a:solidFill>
            </c:spPr>
          </c:dPt>
          <c:cat>
            <c:strRef>
              <c:f>Sheet1!$A$2</c:f>
              <c:strCache>
                <c:ptCount val="1"/>
                <c:pt idx="0">
                  <c:v>Sampel DNA</c:v>
                </c:pt>
              </c:strCache>
            </c:strRef>
          </c:cat>
          <c:val>
            <c:numRef>
              <c:f>Sheet1!$C$2</c:f>
              <c:numCache>
                <c:formatCode>General</c:formatCode>
                <c:ptCount val="1"/>
                <c:pt idx="0">
                  <c:v>6</c:v>
                </c:pt>
              </c:numCache>
            </c:numRef>
          </c:val>
        </c:ser>
        <c:dLbls>
          <c:showLegendKey val="0"/>
          <c:showVal val="0"/>
          <c:showCatName val="0"/>
          <c:showSerName val="0"/>
          <c:showPercent val="0"/>
          <c:showBubbleSize val="0"/>
        </c:dLbls>
        <c:gapWidth val="150"/>
        <c:axId val="436232576"/>
        <c:axId val="452663168"/>
      </c:barChart>
      <c:catAx>
        <c:axId val="436232576"/>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id-ID"/>
          </a:p>
        </c:txPr>
        <c:crossAx val="452663168"/>
        <c:crosses val="autoZero"/>
        <c:auto val="1"/>
        <c:lblAlgn val="ctr"/>
        <c:lblOffset val="100"/>
        <c:noMultiLvlLbl val="0"/>
      </c:catAx>
      <c:valAx>
        <c:axId val="452663168"/>
        <c:scaling>
          <c:orientation val="minMax"/>
        </c:scaling>
        <c:delete val="0"/>
        <c:axPos val="l"/>
        <c:majorGridlines/>
        <c:numFmt formatCode="General" sourceLinked="1"/>
        <c:majorTickMark val="out"/>
        <c:minorTickMark val="none"/>
        <c:tickLblPos val="nextTo"/>
        <c:crossAx val="43623257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spPr>
    <a:solidFill>
      <a:schemeClr val="lt1"/>
    </a:solidFill>
    <a:ln w="3175" cap="flat" cmpd="sng" algn="ctr">
      <a:solidFill>
        <a:schemeClr val="tx1"/>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0.40907</cdr:x>
      <cdr:y>0.4143</cdr:y>
    </cdr:from>
    <cdr:to>
      <cdr:x>0.64599</cdr:x>
      <cdr:y>0.57988</cdr:y>
    </cdr:to>
    <cdr:sp macro="" textlink="">
      <cdr:nvSpPr>
        <cdr:cNvPr id="2" name="Text Box 1"/>
        <cdr:cNvSpPr txBox="1"/>
      </cdr:nvSpPr>
      <cdr:spPr>
        <a:xfrm xmlns:a="http://schemas.openxmlformats.org/drawingml/2006/main">
          <a:off x="1067620" y="666906"/>
          <a:ext cx="618305" cy="266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27,27%</a:t>
          </a:r>
        </a:p>
      </cdr:txBody>
    </cdr:sp>
  </cdr:relSizeAnchor>
  <cdr:relSizeAnchor xmlns:cdr="http://schemas.openxmlformats.org/drawingml/2006/chartDrawing">
    <cdr:from>
      <cdr:x>0.24181</cdr:x>
      <cdr:y>0.04893</cdr:y>
    </cdr:from>
    <cdr:to>
      <cdr:x>0.5073</cdr:x>
      <cdr:y>0.23077</cdr:y>
    </cdr:to>
    <cdr:sp macro="" textlink="">
      <cdr:nvSpPr>
        <cdr:cNvPr id="3" name="Text Box 2"/>
        <cdr:cNvSpPr txBox="1"/>
      </cdr:nvSpPr>
      <cdr:spPr>
        <a:xfrm xmlns:a="http://schemas.openxmlformats.org/drawingml/2006/main">
          <a:off x="631093" y="78768"/>
          <a:ext cx="692881" cy="2927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72,73%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A8FDA-7A8F-4347-8E03-D2FBCFC1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dc:creator>
  <cp:lastModifiedBy>User_Lenovo_G40</cp:lastModifiedBy>
  <cp:revision>4</cp:revision>
  <cp:lastPrinted>2015-02-20T02:11:00Z</cp:lastPrinted>
  <dcterms:created xsi:type="dcterms:W3CDTF">2017-09-07T19:25:00Z</dcterms:created>
  <dcterms:modified xsi:type="dcterms:W3CDTF">2017-09-07T19:46:00Z</dcterms:modified>
</cp:coreProperties>
</file>